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宋体"/>
          <w:sz w:val="44"/>
          <w:szCs w:val="44"/>
          <w:highlight w:val="none"/>
        </w:rPr>
      </w:pPr>
      <w:bookmarkStart w:id="168" w:name="_GoBack"/>
      <w:r>
        <w:rPr>
          <w:rFonts w:ascii="宋体" w:hAnsi="宋体"/>
          <w:szCs w:val="21"/>
          <w:highlight w:val="none"/>
        </w:rPr>
        <w:t xml:space="preserve"> </w:t>
      </w:r>
      <w:r>
        <w:rPr>
          <w:rFonts w:ascii="宋体" w:hAnsi="宋体"/>
          <w:sz w:val="44"/>
          <w:szCs w:val="44"/>
          <w:highlight w:val="none"/>
        </w:rPr>
        <w:t xml:space="preserve">      </w:t>
      </w:r>
    </w:p>
    <w:p>
      <w:pPr>
        <w:spacing w:line="480" w:lineRule="exact"/>
        <w:jc w:val="center"/>
        <w:rPr>
          <w:rFonts w:ascii="宋体" w:hAnsi="宋体"/>
          <w:b/>
          <w:sz w:val="44"/>
          <w:szCs w:val="44"/>
          <w:highlight w:val="none"/>
        </w:rPr>
      </w:pPr>
      <w:r>
        <w:rPr>
          <w:rFonts w:hint="eastAsia" w:ascii="宋体" w:hAnsi="宋体"/>
          <w:b/>
          <w:sz w:val="44"/>
          <w:szCs w:val="44"/>
          <w:highlight w:val="none"/>
        </w:rPr>
        <w:t>安庆职业技术学院网络安全等级保护测评项目</w:t>
      </w:r>
    </w:p>
    <w:p>
      <w:pPr>
        <w:spacing w:line="480" w:lineRule="exact"/>
        <w:rPr>
          <w:rFonts w:ascii="仿宋_GB2312" w:hAnsi="宋体" w:eastAsia="仿宋_GB2312"/>
          <w:b/>
          <w:sz w:val="44"/>
          <w:szCs w:val="44"/>
          <w:highlight w:val="none"/>
        </w:rPr>
      </w:pPr>
    </w:p>
    <w:p>
      <w:pPr>
        <w:spacing w:line="480" w:lineRule="exact"/>
        <w:rPr>
          <w:rFonts w:ascii="宋体"/>
          <w:szCs w:val="21"/>
          <w:highlight w:val="none"/>
        </w:rPr>
      </w:pPr>
    </w:p>
    <w:p>
      <w:pPr>
        <w:pStyle w:val="59"/>
        <w:ind w:firstLine="400"/>
        <w:rPr>
          <w:rFonts w:ascii="宋体"/>
          <w:szCs w:val="21"/>
          <w:highlight w:val="none"/>
        </w:rPr>
      </w:pPr>
    </w:p>
    <w:p>
      <w:pPr>
        <w:pStyle w:val="59"/>
        <w:ind w:firstLine="400"/>
        <w:rPr>
          <w:rFonts w:ascii="宋体"/>
          <w:szCs w:val="21"/>
          <w:highlight w:val="none"/>
        </w:rPr>
      </w:pPr>
    </w:p>
    <w:p>
      <w:pPr>
        <w:pStyle w:val="59"/>
        <w:ind w:firstLine="400"/>
        <w:rPr>
          <w:rFonts w:ascii="宋体"/>
          <w:szCs w:val="21"/>
          <w:highlight w:val="none"/>
        </w:rPr>
      </w:pPr>
    </w:p>
    <w:p>
      <w:pPr>
        <w:pStyle w:val="59"/>
        <w:ind w:firstLine="400"/>
        <w:rPr>
          <w:rFonts w:ascii="宋体"/>
          <w:szCs w:val="21"/>
          <w:highlight w:val="none"/>
        </w:rPr>
      </w:pPr>
    </w:p>
    <w:p>
      <w:pPr>
        <w:pStyle w:val="59"/>
        <w:ind w:firstLine="400"/>
        <w:rPr>
          <w:rFonts w:ascii="宋体"/>
          <w:szCs w:val="21"/>
          <w:highlight w:val="none"/>
        </w:rPr>
      </w:pPr>
    </w:p>
    <w:p>
      <w:pPr>
        <w:pStyle w:val="59"/>
        <w:ind w:firstLine="400"/>
        <w:rPr>
          <w:rFonts w:ascii="宋体"/>
          <w:szCs w:val="21"/>
          <w:highlight w:val="none"/>
        </w:rPr>
      </w:pPr>
    </w:p>
    <w:p>
      <w:pPr>
        <w:spacing w:line="760" w:lineRule="exact"/>
        <w:jc w:val="center"/>
        <w:rPr>
          <w:rFonts w:ascii="宋体" w:cs="宋体"/>
          <w:b/>
          <w:bCs/>
          <w:sz w:val="48"/>
          <w:szCs w:val="48"/>
          <w:highlight w:val="none"/>
        </w:rPr>
      </w:pPr>
      <w:r>
        <w:rPr>
          <w:rFonts w:hint="eastAsia" w:ascii="宋体" w:hAnsi="宋体" w:cs="宋体"/>
          <w:b/>
          <w:bCs/>
          <w:sz w:val="72"/>
          <w:szCs w:val="72"/>
          <w:highlight w:val="none"/>
        </w:rPr>
        <w:t>磋</w:t>
      </w:r>
      <w:r>
        <w:rPr>
          <w:rFonts w:ascii="宋体" w:hAnsi="宋体" w:cs="宋体"/>
          <w:b/>
          <w:bCs/>
          <w:sz w:val="72"/>
          <w:szCs w:val="72"/>
          <w:highlight w:val="none"/>
        </w:rPr>
        <w:t xml:space="preserve">  </w:t>
      </w:r>
      <w:r>
        <w:rPr>
          <w:rFonts w:hint="eastAsia" w:ascii="宋体" w:hAnsi="宋体" w:cs="宋体"/>
          <w:b/>
          <w:bCs/>
          <w:sz w:val="72"/>
          <w:szCs w:val="72"/>
          <w:highlight w:val="none"/>
        </w:rPr>
        <w:t>商</w:t>
      </w:r>
      <w:r>
        <w:rPr>
          <w:rFonts w:ascii="宋体" w:hAnsi="宋体" w:cs="宋体"/>
          <w:b/>
          <w:bCs/>
          <w:sz w:val="72"/>
          <w:szCs w:val="72"/>
          <w:highlight w:val="none"/>
        </w:rPr>
        <w:t xml:space="preserve">  </w:t>
      </w:r>
      <w:r>
        <w:rPr>
          <w:rFonts w:hint="eastAsia" w:ascii="宋体" w:hAnsi="宋体" w:cs="宋体"/>
          <w:b/>
          <w:bCs/>
          <w:sz w:val="72"/>
          <w:szCs w:val="72"/>
          <w:highlight w:val="none"/>
        </w:rPr>
        <w:t>文</w:t>
      </w:r>
      <w:r>
        <w:rPr>
          <w:rFonts w:ascii="宋体" w:hAnsi="宋体" w:cs="宋体"/>
          <w:b/>
          <w:bCs/>
          <w:sz w:val="72"/>
          <w:szCs w:val="72"/>
          <w:highlight w:val="none"/>
        </w:rPr>
        <w:t xml:space="preserve">  </w:t>
      </w:r>
      <w:r>
        <w:rPr>
          <w:rFonts w:hint="eastAsia" w:ascii="宋体" w:hAnsi="宋体" w:cs="宋体"/>
          <w:b/>
          <w:bCs/>
          <w:sz w:val="72"/>
          <w:szCs w:val="72"/>
          <w:highlight w:val="none"/>
        </w:rPr>
        <w:t>件</w:t>
      </w:r>
    </w:p>
    <w:p>
      <w:pPr>
        <w:spacing w:line="480" w:lineRule="exact"/>
        <w:jc w:val="center"/>
        <w:rPr>
          <w:rFonts w:ascii="宋体" w:cs="宋体"/>
          <w:b/>
          <w:bCs/>
          <w:sz w:val="48"/>
          <w:szCs w:val="48"/>
          <w:highlight w:val="none"/>
        </w:rPr>
      </w:pPr>
    </w:p>
    <w:p>
      <w:pPr>
        <w:spacing w:line="480" w:lineRule="exact"/>
        <w:jc w:val="center"/>
        <w:rPr>
          <w:rFonts w:ascii="宋体" w:hAnsi="宋体" w:cs="宋体"/>
          <w:b/>
          <w:bCs/>
          <w:sz w:val="28"/>
          <w:szCs w:val="28"/>
          <w:highlight w:val="none"/>
        </w:rPr>
      </w:pPr>
      <w:r>
        <w:rPr>
          <w:rFonts w:hint="eastAsia" w:ascii="宋体" w:hAnsi="宋体" w:cs="宋体"/>
          <w:b/>
          <w:bCs/>
          <w:sz w:val="28"/>
          <w:szCs w:val="28"/>
          <w:highlight w:val="none"/>
        </w:rPr>
        <w:t>项目编号：CG-AZ-2021-026</w:t>
      </w:r>
    </w:p>
    <w:p>
      <w:pPr>
        <w:spacing w:line="480" w:lineRule="exact"/>
        <w:jc w:val="center"/>
        <w:rPr>
          <w:rFonts w:ascii="宋体" w:hAnsi="宋体" w:cs="仿宋_GB2312"/>
          <w:b/>
          <w:bCs/>
          <w:sz w:val="28"/>
          <w:szCs w:val="28"/>
          <w:highlight w:val="none"/>
        </w:rPr>
      </w:pPr>
    </w:p>
    <w:p>
      <w:pPr>
        <w:spacing w:line="480" w:lineRule="exact"/>
        <w:rPr>
          <w:rFonts w:ascii="宋体" w:hAnsi="宋体" w:cs="仿宋_GB2312"/>
          <w:szCs w:val="21"/>
          <w:highlight w:val="none"/>
        </w:rPr>
      </w:pPr>
    </w:p>
    <w:p>
      <w:pPr>
        <w:spacing w:line="480" w:lineRule="exact"/>
        <w:rPr>
          <w:rFonts w:ascii="宋体" w:hAnsi="宋体" w:cs="仿宋_GB2312"/>
          <w:szCs w:val="21"/>
          <w:highlight w:val="none"/>
        </w:rPr>
      </w:pPr>
    </w:p>
    <w:p>
      <w:pPr>
        <w:pStyle w:val="59"/>
        <w:ind w:firstLine="400"/>
        <w:rPr>
          <w:rFonts w:ascii="宋体" w:hAnsi="宋体" w:cs="仿宋_GB2312"/>
          <w:szCs w:val="21"/>
          <w:highlight w:val="none"/>
        </w:rPr>
      </w:pPr>
    </w:p>
    <w:p>
      <w:pPr>
        <w:pStyle w:val="59"/>
        <w:ind w:firstLine="400"/>
        <w:rPr>
          <w:rFonts w:ascii="宋体" w:hAnsi="宋体" w:cs="仿宋_GB2312"/>
          <w:szCs w:val="21"/>
          <w:highlight w:val="none"/>
        </w:rPr>
      </w:pPr>
    </w:p>
    <w:p>
      <w:pPr>
        <w:spacing w:line="480" w:lineRule="exact"/>
        <w:rPr>
          <w:rFonts w:ascii="宋体" w:hAnsi="宋体" w:cs="仿宋_GB2312"/>
          <w:szCs w:val="21"/>
          <w:highlight w:val="none"/>
        </w:rPr>
      </w:pPr>
    </w:p>
    <w:p>
      <w:pPr>
        <w:spacing w:line="360" w:lineRule="auto"/>
        <w:ind w:firstLine="596" w:firstLineChars="198"/>
        <w:rPr>
          <w:rFonts w:ascii="宋体" w:hAnsi="宋体" w:cs="仿宋_GB2312"/>
          <w:b/>
          <w:szCs w:val="21"/>
          <w:highlight w:val="none"/>
        </w:rPr>
      </w:pPr>
      <w:r>
        <w:rPr>
          <w:rFonts w:hint="eastAsia" w:ascii="宋体" w:hAnsi="宋体" w:cs="仿宋_GB2312"/>
          <w:b/>
          <w:sz w:val="30"/>
          <w:szCs w:val="30"/>
          <w:highlight w:val="none"/>
        </w:rPr>
        <w:t>采</w:t>
      </w:r>
      <w:r>
        <w:rPr>
          <w:rFonts w:ascii="宋体" w:hAnsi="宋体" w:cs="仿宋_GB2312"/>
          <w:b/>
          <w:sz w:val="30"/>
          <w:szCs w:val="30"/>
          <w:highlight w:val="none"/>
        </w:rPr>
        <w:t xml:space="preserve">   </w:t>
      </w:r>
      <w:r>
        <w:rPr>
          <w:rFonts w:hint="eastAsia" w:ascii="宋体" w:hAnsi="宋体" w:cs="仿宋_GB2312"/>
          <w:b/>
          <w:sz w:val="30"/>
          <w:szCs w:val="30"/>
          <w:highlight w:val="none"/>
        </w:rPr>
        <w:t>购</w:t>
      </w:r>
      <w:r>
        <w:rPr>
          <w:rFonts w:ascii="宋体" w:hAnsi="宋体" w:cs="仿宋_GB2312"/>
          <w:b/>
          <w:sz w:val="30"/>
          <w:szCs w:val="30"/>
          <w:highlight w:val="none"/>
        </w:rPr>
        <w:t xml:space="preserve">   </w:t>
      </w:r>
      <w:r>
        <w:rPr>
          <w:rFonts w:hint="eastAsia" w:ascii="宋体" w:hAnsi="宋体" w:cs="仿宋_GB2312"/>
          <w:b/>
          <w:sz w:val="30"/>
          <w:szCs w:val="30"/>
          <w:highlight w:val="none"/>
        </w:rPr>
        <w:t>人：</w:t>
      </w:r>
      <w:r>
        <w:rPr>
          <w:rFonts w:ascii="宋体" w:hAnsi="宋体" w:cs="仿宋_GB2312"/>
          <w:b/>
          <w:sz w:val="30"/>
          <w:szCs w:val="30"/>
          <w:highlight w:val="none"/>
          <w:u w:val="single"/>
        </w:rPr>
        <w:t xml:space="preserve">       </w:t>
      </w:r>
      <w:r>
        <w:rPr>
          <w:rFonts w:hint="eastAsia" w:ascii="宋体" w:hAnsi="宋体" w:cs="仿宋_GB2312"/>
          <w:b/>
          <w:sz w:val="30"/>
          <w:szCs w:val="30"/>
          <w:highlight w:val="none"/>
          <w:u w:val="single"/>
        </w:rPr>
        <w:t xml:space="preserve">    安庆职业技术学院</w:t>
      </w:r>
      <w:r>
        <w:rPr>
          <w:rFonts w:ascii="宋体" w:hAnsi="宋体" w:cs="仿宋_GB2312"/>
          <w:b/>
          <w:spacing w:val="20"/>
          <w:sz w:val="30"/>
          <w:szCs w:val="30"/>
          <w:highlight w:val="none"/>
          <w:u w:val="single"/>
        </w:rPr>
        <w:t xml:space="preserve">    </w:t>
      </w:r>
      <w:r>
        <w:rPr>
          <w:rFonts w:hint="eastAsia" w:ascii="宋体" w:hAnsi="宋体" w:cs="仿宋_GB2312"/>
          <w:b/>
          <w:spacing w:val="20"/>
          <w:sz w:val="30"/>
          <w:szCs w:val="30"/>
          <w:highlight w:val="none"/>
          <w:u w:val="single"/>
        </w:rPr>
        <w:t xml:space="preserve">    </w:t>
      </w:r>
      <w:r>
        <w:rPr>
          <w:rFonts w:ascii="宋体" w:hAnsi="宋体" w:cs="仿宋_GB2312"/>
          <w:b/>
          <w:spacing w:val="20"/>
          <w:sz w:val="30"/>
          <w:szCs w:val="30"/>
          <w:highlight w:val="none"/>
          <w:u w:val="single"/>
        </w:rPr>
        <w:t xml:space="preserve">   </w:t>
      </w:r>
      <w:r>
        <w:rPr>
          <w:rFonts w:ascii="宋体" w:hAnsi="宋体" w:cs="仿宋_GB2312"/>
          <w:b/>
          <w:sz w:val="30"/>
          <w:szCs w:val="30"/>
          <w:highlight w:val="none"/>
          <w:u w:val="single"/>
        </w:rPr>
        <w:t xml:space="preserve">  </w:t>
      </w:r>
    </w:p>
    <w:p>
      <w:pPr>
        <w:spacing w:line="360" w:lineRule="auto"/>
        <w:rPr>
          <w:rFonts w:ascii="宋体" w:hAnsi="宋体" w:cs="仿宋_GB2312"/>
          <w:b/>
          <w:sz w:val="24"/>
          <w:highlight w:val="none"/>
        </w:rPr>
      </w:pPr>
    </w:p>
    <w:p>
      <w:pPr>
        <w:spacing w:line="360" w:lineRule="auto"/>
        <w:rPr>
          <w:rFonts w:ascii="宋体" w:hAnsi="宋体" w:cs="仿宋_GB2312"/>
          <w:b/>
          <w:sz w:val="24"/>
          <w:highlight w:val="none"/>
        </w:rPr>
      </w:pPr>
    </w:p>
    <w:p>
      <w:pPr>
        <w:spacing w:line="360" w:lineRule="auto"/>
        <w:rPr>
          <w:rFonts w:ascii="宋体" w:hAnsi="宋体" w:cs="仿宋_GB2312"/>
          <w:b/>
          <w:sz w:val="24"/>
          <w:highlight w:val="none"/>
        </w:rPr>
      </w:pPr>
    </w:p>
    <w:p>
      <w:pPr>
        <w:spacing w:line="360" w:lineRule="auto"/>
        <w:ind w:firstLine="596" w:firstLineChars="198"/>
        <w:rPr>
          <w:rFonts w:ascii="宋体" w:hAnsi="宋体" w:cs="仿宋_GB2312"/>
          <w:b/>
          <w:sz w:val="18"/>
          <w:szCs w:val="18"/>
          <w:highlight w:val="none"/>
        </w:rPr>
      </w:pPr>
      <w:r>
        <w:rPr>
          <w:rFonts w:hint="eastAsia" w:ascii="宋体" w:hAnsi="宋体" w:cs="仿宋_GB2312"/>
          <w:b/>
          <w:sz w:val="30"/>
          <w:szCs w:val="30"/>
          <w:highlight w:val="none"/>
        </w:rPr>
        <w:t>采购代理机构：</w:t>
      </w:r>
      <w:r>
        <w:rPr>
          <w:rFonts w:ascii="宋体" w:hAnsi="宋体" w:cs="仿宋_GB2312"/>
          <w:b/>
          <w:sz w:val="30"/>
          <w:szCs w:val="30"/>
          <w:highlight w:val="none"/>
          <w:u w:val="single"/>
        </w:rPr>
        <w:t xml:space="preserve">     </w:t>
      </w:r>
      <w:r>
        <w:rPr>
          <w:rFonts w:hint="eastAsia" w:ascii="宋体" w:hAnsi="宋体" w:cs="宋体"/>
          <w:b/>
          <w:sz w:val="30"/>
          <w:szCs w:val="30"/>
          <w:highlight w:val="none"/>
          <w:u w:val="single"/>
        </w:rPr>
        <w:t>安庆市皖宜项目咨询管理有限公司</w:t>
      </w:r>
      <w:r>
        <w:rPr>
          <w:rFonts w:ascii="宋体" w:hAnsi="宋体" w:cs="仿宋_GB2312"/>
          <w:b/>
          <w:spacing w:val="20"/>
          <w:sz w:val="30"/>
          <w:szCs w:val="30"/>
          <w:highlight w:val="none"/>
          <w:u w:val="single"/>
        </w:rPr>
        <w:t xml:space="preserve">      </w:t>
      </w:r>
      <w:r>
        <w:rPr>
          <w:rFonts w:ascii="宋体" w:hAnsi="宋体" w:cs="仿宋_GB2312"/>
          <w:b/>
          <w:sz w:val="30"/>
          <w:szCs w:val="30"/>
          <w:highlight w:val="none"/>
          <w:u w:val="single"/>
        </w:rPr>
        <w:t xml:space="preserve">  </w:t>
      </w:r>
    </w:p>
    <w:p>
      <w:pPr>
        <w:spacing w:line="360" w:lineRule="auto"/>
        <w:rPr>
          <w:rFonts w:ascii="宋体" w:hAnsi="宋体" w:cs="仿宋_GB2312"/>
          <w:b/>
          <w:sz w:val="24"/>
          <w:highlight w:val="none"/>
          <w:u w:val="single"/>
        </w:rPr>
      </w:pPr>
    </w:p>
    <w:p>
      <w:pPr>
        <w:spacing w:line="480" w:lineRule="exact"/>
        <w:rPr>
          <w:rFonts w:ascii="宋体" w:hAnsi="宋体" w:cs="仿宋_GB2312"/>
          <w:szCs w:val="21"/>
          <w:highlight w:val="none"/>
        </w:rPr>
      </w:pPr>
    </w:p>
    <w:p>
      <w:pPr>
        <w:spacing w:line="480" w:lineRule="exact"/>
        <w:rPr>
          <w:rFonts w:ascii="宋体" w:hAnsi="宋体" w:cs="仿宋_GB2312"/>
          <w:szCs w:val="21"/>
          <w:highlight w:val="none"/>
        </w:rPr>
      </w:pPr>
    </w:p>
    <w:p>
      <w:pPr>
        <w:spacing w:line="480" w:lineRule="exact"/>
        <w:jc w:val="center"/>
        <w:rPr>
          <w:rFonts w:ascii="宋体" w:hAnsi="宋体" w:cs="仿宋_GB2312"/>
          <w:b/>
          <w:bCs/>
          <w:sz w:val="32"/>
          <w:szCs w:val="32"/>
          <w:highlight w:val="none"/>
        </w:rPr>
      </w:pPr>
      <w:r>
        <w:rPr>
          <w:rFonts w:hint="eastAsia" w:ascii="宋体" w:hAnsi="宋体" w:cs="仿宋_GB2312"/>
          <w:b/>
          <w:bCs/>
          <w:sz w:val="32"/>
          <w:szCs w:val="32"/>
          <w:highlight w:val="none"/>
        </w:rPr>
        <w:t>日期：</w:t>
      </w:r>
      <w:r>
        <w:rPr>
          <w:rFonts w:hint="eastAsia" w:ascii="宋体" w:hAnsi="宋体" w:cs="宋体"/>
          <w:b/>
          <w:bCs/>
          <w:sz w:val="30"/>
          <w:szCs w:val="30"/>
          <w:highlight w:val="none"/>
        </w:rPr>
        <w:t>二〇二一年十一月</w:t>
      </w:r>
    </w:p>
    <w:p>
      <w:pPr>
        <w:spacing w:line="480" w:lineRule="exact"/>
        <w:jc w:val="center"/>
        <w:rPr>
          <w:rFonts w:ascii="宋体" w:hAnsi="宋体" w:cs="仿宋_GB2312"/>
          <w:sz w:val="32"/>
          <w:szCs w:val="32"/>
          <w:highlight w:val="none"/>
        </w:rPr>
      </w:pPr>
    </w:p>
    <w:p>
      <w:pPr>
        <w:spacing w:line="480" w:lineRule="exact"/>
        <w:jc w:val="center"/>
        <w:rPr>
          <w:rFonts w:ascii="宋体" w:hAnsi="宋体" w:cs="仿宋_GB2312"/>
          <w:sz w:val="32"/>
          <w:szCs w:val="32"/>
          <w:highlight w:val="none"/>
        </w:rPr>
      </w:pPr>
    </w:p>
    <w:p>
      <w:pPr>
        <w:spacing w:line="480" w:lineRule="exact"/>
        <w:jc w:val="center"/>
        <w:rPr>
          <w:rFonts w:ascii="宋体" w:hAnsi="宋体" w:cs="仿宋_GB2312"/>
          <w:sz w:val="32"/>
          <w:szCs w:val="32"/>
          <w:highlight w:val="none"/>
        </w:rPr>
      </w:pPr>
    </w:p>
    <w:p>
      <w:pPr>
        <w:spacing w:line="480" w:lineRule="exact"/>
        <w:jc w:val="center"/>
        <w:rPr>
          <w:rFonts w:ascii="宋体" w:hAnsi="宋体" w:cs="仿宋_GB2312"/>
          <w:sz w:val="32"/>
          <w:szCs w:val="32"/>
          <w:highlight w:val="none"/>
        </w:rPr>
      </w:pPr>
    </w:p>
    <w:p>
      <w:pPr>
        <w:widowControl/>
        <w:spacing w:line="480" w:lineRule="auto"/>
        <w:jc w:val="center"/>
        <w:rPr>
          <w:rFonts w:ascii="黑体" w:hAnsi="黑体" w:eastAsia="黑体" w:cs="宋体"/>
          <w:b/>
          <w:kern w:val="0"/>
          <w:sz w:val="32"/>
          <w:szCs w:val="32"/>
          <w:highlight w:val="none"/>
        </w:rPr>
      </w:pPr>
      <w:r>
        <w:rPr>
          <w:rFonts w:hint="eastAsia" w:ascii="黑体" w:hAnsi="黑体" w:eastAsia="黑体" w:cs="宋体"/>
          <w:b/>
          <w:kern w:val="0"/>
          <w:sz w:val="32"/>
          <w:szCs w:val="32"/>
          <w:highlight w:val="none"/>
        </w:rPr>
        <w:t>重 要 提 示</w:t>
      </w:r>
    </w:p>
    <w:p>
      <w:pPr>
        <w:widowControl/>
        <w:spacing w:line="360" w:lineRule="auto"/>
        <w:jc w:val="left"/>
        <w:rPr>
          <w:rFonts w:ascii="仿宋" w:hAnsi="仿宋" w:eastAsia="仿宋" w:cs="仿宋"/>
          <w:bCs/>
          <w:kern w:val="0"/>
          <w:sz w:val="32"/>
          <w:szCs w:val="32"/>
          <w:highlight w:val="none"/>
        </w:rPr>
      </w:pPr>
      <w:r>
        <w:rPr>
          <w:rFonts w:hint="eastAsia" w:ascii="仿宋" w:hAnsi="仿宋" w:eastAsia="仿宋" w:cs="仿宋"/>
          <w:bCs/>
          <w:kern w:val="0"/>
          <w:sz w:val="32"/>
          <w:szCs w:val="32"/>
          <w:highlight w:val="none"/>
        </w:rPr>
        <w:t>各供应商：</w:t>
      </w:r>
    </w:p>
    <w:p>
      <w:pPr>
        <w:widowControl/>
        <w:spacing w:line="360" w:lineRule="auto"/>
        <w:ind w:firstLine="640" w:firstLineChars="200"/>
        <w:jc w:val="left"/>
        <w:rPr>
          <w:rFonts w:ascii="仿宋" w:hAnsi="仿宋" w:eastAsia="仿宋" w:cs="仿宋"/>
          <w:bCs/>
          <w:kern w:val="0"/>
          <w:sz w:val="32"/>
          <w:szCs w:val="32"/>
          <w:highlight w:val="none"/>
        </w:rPr>
      </w:pPr>
      <w:r>
        <w:rPr>
          <w:rFonts w:hint="eastAsia" w:ascii="仿宋" w:hAnsi="仿宋" w:eastAsia="仿宋" w:cs="仿宋"/>
          <w:bCs/>
          <w:kern w:val="0"/>
          <w:sz w:val="32"/>
          <w:szCs w:val="32"/>
          <w:highlight w:val="none"/>
        </w:rPr>
        <w:t>鉴于新冠肺炎疫情防控工作需要，要求如下：</w:t>
      </w:r>
      <w:r>
        <w:rPr>
          <w:rFonts w:ascii="仿宋" w:hAnsi="仿宋" w:eastAsia="仿宋" w:cs="仿宋"/>
          <w:bCs/>
          <w:kern w:val="0"/>
          <w:sz w:val="32"/>
          <w:szCs w:val="32"/>
          <w:highlight w:val="none"/>
        </w:rPr>
        <w:t xml:space="preserve"> </w:t>
      </w:r>
    </w:p>
    <w:p>
      <w:pPr>
        <w:widowControl/>
        <w:spacing w:line="360" w:lineRule="auto"/>
        <w:ind w:firstLine="640" w:firstLineChars="200"/>
        <w:jc w:val="left"/>
        <w:rPr>
          <w:rFonts w:ascii="仿宋" w:hAnsi="仿宋" w:eastAsia="仿宋" w:cs="仿宋"/>
          <w:bCs/>
          <w:kern w:val="0"/>
          <w:sz w:val="32"/>
          <w:szCs w:val="32"/>
          <w:highlight w:val="none"/>
        </w:rPr>
      </w:pPr>
      <w:r>
        <w:rPr>
          <w:rFonts w:hint="eastAsia" w:ascii="仿宋" w:hAnsi="仿宋" w:eastAsia="仿宋" w:cs="仿宋"/>
          <w:bCs/>
          <w:kern w:val="0"/>
          <w:sz w:val="32"/>
          <w:szCs w:val="32"/>
          <w:highlight w:val="none"/>
        </w:rPr>
        <w:t>一、本项目供应商仅能派一名身体健康、无咳嗽、发烧等不良症状的法定代表人或其委托代理人到达开标现场。</w:t>
      </w:r>
      <w:r>
        <w:rPr>
          <w:rFonts w:hint="eastAsia" w:ascii="仿宋" w:hAnsi="仿宋" w:eastAsia="仿宋" w:cs="仿宋"/>
          <w:b/>
          <w:bCs/>
          <w:kern w:val="0"/>
          <w:sz w:val="32"/>
          <w:szCs w:val="32"/>
          <w:highlight w:val="none"/>
        </w:rPr>
        <w:t>法定代表人或其委托代理人须符合以下情形，否则响应文件将不予接收。</w:t>
      </w:r>
    </w:p>
    <w:p>
      <w:pPr>
        <w:spacing w:line="360" w:lineRule="auto"/>
        <w:ind w:firstLine="640" w:firstLineChars="200"/>
        <w:rPr>
          <w:rFonts w:ascii="仿宋" w:hAnsi="仿宋" w:eastAsia="仿宋" w:cs="仿宋"/>
          <w:bCs/>
          <w:kern w:val="0"/>
          <w:sz w:val="32"/>
          <w:szCs w:val="32"/>
          <w:highlight w:val="none"/>
        </w:rPr>
      </w:pPr>
      <w:r>
        <w:rPr>
          <w:rFonts w:hint="eastAsia" w:ascii="仿宋" w:hAnsi="仿宋" w:eastAsia="仿宋" w:cs="仿宋"/>
          <w:bCs/>
          <w:kern w:val="0"/>
          <w:sz w:val="32"/>
          <w:szCs w:val="32"/>
          <w:highlight w:val="none"/>
        </w:rPr>
        <w:t>递交响应文件前须提交疫情低风险区域证明；或提交响应文件截止时间七日内核酸检测报告；或出示健康码。</w:t>
      </w:r>
    </w:p>
    <w:p>
      <w:pPr>
        <w:spacing w:line="360" w:lineRule="auto"/>
        <w:ind w:firstLine="640" w:firstLineChars="200"/>
        <w:rPr>
          <w:rFonts w:ascii="仿宋" w:hAnsi="仿宋" w:eastAsia="仿宋" w:cs="仿宋"/>
          <w:bCs/>
          <w:kern w:val="0"/>
          <w:sz w:val="32"/>
          <w:szCs w:val="32"/>
          <w:highlight w:val="none"/>
        </w:rPr>
      </w:pPr>
      <w:r>
        <w:rPr>
          <w:rFonts w:hint="eastAsia" w:ascii="仿宋" w:hAnsi="仿宋" w:eastAsia="仿宋" w:cs="仿宋"/>
          <w:bCs/>
          <w:kern w:val="0"/>
          <w:sz w:val="32"/>
          <w:szCs w:val="32"/>
          <w:highlight w:val="none"/>
        </w:rPr>
        <w:t>1、</w:t>
      </w:r>
      <w:r>
        <w:rPr>
          <w:rFonts w:ascii="仿宋" w:hAnsi="仿宋" w:eastAsia="仿宋" w:cs="仿宋"/>
          <w:bCs/>
          <w:kern w:val="0"/>
          <w:sz w:val="32"/>
          <w:szCs w:val="32"/>
          <w:highlight w:val="none"/>
        </w:rPr>
        <w:t>居民身份证上住址属于疫情低风险区域。疫情低风险区域的证明材料包括：</w:t>
      </w:r>
      <w:r>
        <w:rPr>
          <w:rFonts w:hint="eastAsia" w:ascii="仿宋" w:hAnsi="仿宋" w:eastAsia="仿宋" w:cs="仿宋"/>
          <w:bCs/>
          <w:kern w:val="0"/>
          <w:sz w:val="32"/>
          <w:szCs w:val="32"/>
          <w:highlight w:val="none"/>
        </w:rPr>
        <w:t>2021</w:t>
      </w:r>
      <w:r>
        <w:rPr>
          <w:rFonts w:ascii="仿宋" w:hAnsi="仿宋" w:eastAsia="仿宋" w:cs="仿宋"/>
          <w:bCs/>
          <w:kern w:val="0"/>
          <w:sz w:val="32"/>
          <w:szCs w:val="32"/>
          <w:highlight w:val="none"/>
        </w:rPr>
        <w:t>年</w:t>
      </w:r>
      <w:r>
        <w:rPr>
          <w:rFonts w:hint="eastAsia" w:ascii="仿宋" w:hAnsi="仿宋" w:eastAsia="仿宋" w:cs="仿宋"/>
          <w:bCs/>
          <w:kern w:val="0"/>
          <w:sz w:val="32"/>
          <w:szCs w:val="32"/>
          <w:highlight w:val="none"/>
        </w:rPr>
        <w:t>11</w:t>
      </w:r>
      <w:r>
        <w:rPr>
          <w:rFonts w:ascii="仿宋" w:hAnsi="仿宋" w:eastAsia="仿宋" w:cs="仿宋"/>
          <w:bCs/>
          <w:kern w:val="0"/>
          <w:sz w:val="32"/>
          <w:szCs w:val="32"/>
          <w:highlight w:val="none"/>
        </w:rPr>
        <w:t>月</w:t>
      </w:r>
      <w:r>
        <w:rPr>
          <w:rFonts w:hint="eastAsia" w:ascii="仿宋" w:hAnsi="仿宋" w:eastAsia="仿宋" w:cs="仿宋"/>
          <w:bCs/>
          <w:kern w:val="0"/>
          <w:sz w:val="32"/>
          <w:szCs w:val="32"/>
          <w:highlight w:val="none"/>
          <w:lang w:val="en-US" w:eastAsia="zh-CN"/>
        </w:rPr>
        <w:t>23</w:t>
      </w:r>
      <w:r>
        <w:rPr>
          <w:rFonts w:ascii="仿宋" w:hAnsi="仿宋" w:eastAsia="仿宋" w:cs="仿宋"/>
          <w:bCs/>
          <w:kern w:val="0"/>
          <w:sz w:val="32"/>
          <w:szCs w:val="32"/>
          <w:highlight w:val="none"/>
        </w:rPr>
        <w:t>日24</w:t>
      </w:r>
      <w:r>
        <w:rPr>
          <w:rFonts w:ascii="仿宋" w:hAnsi="仿宋" w:eastAsia="仿宋" w:cs="仿宋"/>
          <w:bCs/>
          <w:kern w:val="0"/>
          <w:sz w:val="32"/>
          <w:szCs w:val="32"/>
          <w:highlight w:val="none"/>
        </w:rPr>
        <w:t>时前最新发布的政府行政部门官网截图（或网址链接），或社居委或卫生主管部门等政府部门出具的书面证明材料；</w:t>
      </w:r>
      <w:r>
        <w:rPr>
          <w:rFonts w:ascii="仿宋" w:hAnsi="仿宋" w:eastAsia="仿宋" w:cs="仿宋"/>
          <w:bCs/>
          <w:kern w:val="0"/>
          <w:sz w:val="32"/>
          <w:szCs w:val="32"/>
          <w:highlight w:val="none"/>
        </w:rPr>
        <w:br w:type="textWrapping"/>
      </w:r>
      <w:r>
        <w:rPr>
          <w:rFonts w:ascii="仿宋" w:hAnsi="仿宋" w:eastAsia="仿宋" w:cs="仿宋"/>
          <w:bCs/>
          <w:kern w:val="0"/>
          <w:sz w:val="32"/>
          <w:szCs w:val="32"/>
          <w:highlight w:val="none"/>
        </w:rPr>
        <w:t xml:space="preserve">    </w:t>
      </w:r>
      <w:r>
        <w:rPr>
          <w:rFonts w:hint="eastAsia" w:ascii="仿宋" w:hAnsi="仿宋" w:eastAsia="仿宋" w:cs="仿宋"/>
          <w:bCs/>
          <w:kern w:val="0"/>
          <w:sz w:val="32"/>
          <w:szCs w:val="32"/>
          <w:highlight w:val="none"/>
        </w:rPr>
        <w:t>2、</w:t>
      </w:r>
      <w:r>
        <w:rPr>
          <w:rFonts w:ascii="仿宋" w:hAnsi="仿宋" w:eastAsia="仿宋" w:cs="仿宋"/>
          <w:bCs/>
          <w:kern w:val="0"/>
          <w:sz w:val="32"/>
          <w:szCs w:val="32"/>
          <w:highlight w:val="none"/>
        </w:rPr>
        <w:t>健康码须为“绿码”。</w:t>
      </w:r>
    </w:p>
    <w:p>
      <w:pPr>
        <w:spacing w:line="360" w:lineRule="auto"/>
        <w:ind w:firstLine="640" w:firstLineChars="200"/>
        <w:rPr>
          <w:rFonts w:ascii="仿宋" w:hAnsi="仿宋" w:eastAsia="仿宋" w:cs="仿宋"/>
          <w:b/>
          <w:kern w:val="0"/>
          <w:sz w:val="32"/>
          <w:szCs w:val="32"/>
          <w:highlight w:val="none"/>
        </w:rPr>
      </w:pPr>
      <w:r>
        <w:rPr>
          <w:rFonts w:hint="eastAsia" w:ascii="仿宋" w:hAnsi="仿宋" w:eastAsia="仿宋" w:cs="仿宋"/>
          <w:bCs/>
          <w:kern w:val="0"/>
          <w:sz w:val="32"/>
          <w:szCs w:val="32"/>
          <w:highlight w:val="none"/>
        </w:rPr>
        <w:t>二、鉴于新冠肺炎疫情防控工作需要，本项目将于开标前半小时在安庆市公共资源交易中心</w:t>
      </w:r>
      <w:r>
        <w:rPr>
          <w:rFonts w:hint="eastAsia" w:ascii="仿宋" w:hAnsi="仿宋" w:eastAsia="仿宋" w:cs="仿宋"/>
          <w:b/>
          <w:kern w:val="0"/>
          <w:sz w:val="32"/>
          <w:szCs w:val="32"/>
          <w:highlight w:val="none"/>
        </w:rPr>
        <w:t>（龙山路215号）门口处</w:t>
      </w:r>
      <w:r>
        <w:rPr>
          <w:rFonts w:hint="eastAsia" w:ascii="仿宋" w:hAnsi="仿宋" w:eastAsia="仿宋" w:cs="仿宋"/>
          <w:bCs/>
          <w:kern w:val="0"/>
          <w:sz w:val="32"/>
          <w:szCs w:val="32"/>
          <w:highlight w:val="none"/>
        </w:rPr>
        <w:t>接收响应文件，请供应商在递交响应文件前出示健康码（绿码）（或疫情低风险区域证明或提交响应文件截止时间七日内核酸检测报告）、授权书、</w:t>
      </w:r>
      <w:r>
        <w:rPr>
          <w:rFonts w:hint="eastAsia" w:ascii="仿宋" w:hAnsi="仿宋" w:eastAsia="仿宋" w:cs="仿宋"/>
          <w:bCs/>
          <w:kern w:val="0"/>
          <w:sz w:val="32"/>
          <w:szCs w:val="32"/>
          <w:highlight w:val="none"/>
        </w:rPr>
        <w:t>身份证明</w:t>
      </w:r>
      <w:r>
        <w:rPr>
          <w:rFonts w:hint="eastAsia" w:ascii="仿宋" w:hAnsi="仿宋" w:eastAsia="仿宋" w:cs="仿宋"/>
          <w:bCs/>
          <w:kern w:val="0"/>
          <w:sz w:val="32"/>
          <w:szCs w:val="32"/>
          <w:highlight w:val="none"/>
        </w:rPr>
        <w:t>。响应文件递交成功后可暂时离开现场，如有询标或磋商事宜将电话通知。</w:t>
      </w:r>
      <w:r>
        <w:rPr>
          <w:rFonts w:hint="eastAsia" w:ascii="仿宋" w:hAnsi="仿宋" w:eastAsia="仿宋" w:cs="仿宋"/>
          <w:b/>
          <w:kern w:val="0"/>
          <w:sz w:val="32"/>
          <w:szCs w:val="32"/>
          <w:highlight w:val="none"/>
        </w:rPr>
        <w:t>（</w:t>
      </w:r>
      <w:r>
        <w:rPr>
          <w:rFonts w:hint="eastAsia" w:ascii="仿宋" w:hAnsi="仿宋" w:eastAsia="仿宋" w:cs="仿宋"/>
          <w:b/>
          <w:kern w:val="0"/>
          <w:sz w:val="32"/>
          <w:szCs w:val="32"/>
          <w:highlight w:val="none"/>
        </w:rPr>
        <w:t>最后报价表由各响应人磋商后现场递交）</w:t>
      </w:r>
    </w:p>
    <w:p>
      <w:pPr>
        <w:spacing w:line="480" w:lineRule="exact"/>
        <w:jc w:val="center"/>
        <w:rPr>
          <w:rFonts w:ascii="宋体" w:hAnsi="宋体" w:cs="仿宋_GB2312"/>
          <w:sz w:val="32"/>
          <w:szCs w:val="32"/>
          <w:highlight w:val="none"/>
        </w:rPr>
      </w:pPr>
    </w:p>
    <w:p>
      <w:pPr>
        <w:pStyle w:val="390"/>
        <w:spacing w:before="240" w:after="240"/>
        <w:rPr>
          <w:rFonts w:ascii="宋体" w:hAnsi="宋体"/>
          <w:color w:val="auto"/>
          <w:highlight w:val="none"/>
        </w:rPr>
        <w:sectPr>
          <w:headerReference r:id="rId3" w:type="default"/>
          <w:footerReference r:id="rId4" w:type="default"/>
          <w:footerReference r:id="rId5" w:type="even"/>
          <w:pgSz w:w="11906" w:h="16838"/>
          <w:pgMar w:top="1418" w:right="1418" w:bottom="1418" w:left="1418" w:header="851" w:footer="680" w:gutter="0"/>
          <w:pgNumType w:fmt="koreanDigital" w:start="1"/>
          <w:cols w:space="720" w:num="1"/>
          <w:docGrid w:linePitch="290" w:charSpace="0"/>
        </w:sectPr>
      </w:pPr>
    </w:p>
    <w:p>
      <w:pPr>
        <w:widowControl/>
        <w:spacing w:line="480" w:lineRule="auto"/>
        <w:jc w:val="center"/>
        <w:rPr>
          <w:rFonts w:ascii="黑体" w:hAnsi="黑体" w:eastAsia="黑体" w:cs="宋体"/>
          <w:b/>
          <w:kern w:val="0"/>
          <w:sz w:val="32"/>
          <w:szCs w:val="32"/>
          <w:highlight w:val="none"/>
        </w:rPr>
      </w:pPr>
      <w:r>
        <w:rPr>
          <w:rFonts w:hint="eastAsia" w:ascii="黑体" w:hAnsi="黑体" w:eastAsia="黑体" w:cs="宋体"/>
          <w:b/>
          <w:kern w:val="0"/>
          <w:sz w:val="32"/>
          <w:szCs w:val="32"/>
          <w:highlight w:val="none"/>
        </w:rPr>
        <w:t>重  要  提  醒</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1.组织、领导、实施恶意竞标、围标、串标、虚假投标、挂靠投标、出让资质等违法活动。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2.以暴力、威胁、利诱等手段强迫他人参与或者退出投标、拍卖以及强迫他人中标后放弃中标或转包的黑恶势力。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4.在招投标过程中寻衅滋事、恶意投诉，或以投诉、信访、举报相威胁获取不正当利益的行为。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5.伪造资质证书、证件、提供虚假材料进行投标，谋取不正当利益的违法行为。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6.采取贿赂、暴力、欺骗、威胁等手段干扰破坏招投标监管、服务人员以及评标专家正常工作的黑恶势力。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7.采取言语威胁、谈判协商、跟踪盯梢、散播隐私、造谣诽谤、持续骚扰等软暴力手段恐吓监管服务人员、评标专家及其家属的违法犯罪行为。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8.利诱、欺骗招标人违反相关规定按其意图设置招标文件条款的违法违规行为。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9.窃取项目投标人报名情况、评标委员会组成人员等保密信息。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 xml:space="preserve">10.领导干部违反规定插手干预项目招投标活动。 </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11.干部职工在招投标活动中与黑恶势力勾结，充当保护伞。</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二、请各磋商响应人认真阅读磋商文件，对下述事项予以重视：</w:t>
      </w:r>
    </w:p>
    <w:p>
      <w:pPr>
        <w:widowControl/>
        <w:spacing w:line="480" w:lineRule="auto"/>
        <w:ind w:firstLine="482" w:firstLineChars="200"/>
        <w:jc w:val="left"/>
        <w:rPr>
          <w:rFonts w:ascii="宋体" w:hAnsi="宋体" w:cs="宋体"/>
          <w:b/>
          <w:kern w:val="0"/>
          <w:sz w:val="24"/>
          <w:szCs w:val="24"/>
          <w:highlight w:val="none"/>
        </w:rPr>
      </w:pPr>
      <w:r>
        <w:rPr>
          <w:rFonts w:hint="eastAsia" w:ascii="宋体" w:hAnsi="宋体" w:cs="宋体"/>
          <w:b/>
          <w:kern w:val="0"/>
          <w:sz w:val="24"/>
          <w:szCs w:val="24"/>
          <w:highlight w:val="none"/>
        </w:rPr>
        <w:t>1、请依据项目资格要求，自行核对营业执照合法有效。</w:t>
      </w:r>
    </w:p>
    <w:p>
      <w:pPr>
        <w:spacing w:line="480" w:lineRule="auto"/>
        <w:ind w:firstLine="482" w:firstLineChars="200"/>
        <w:rPr>
          <w:rFonts w:ascii="宋体" w:hAnsi="宋体" w:cs="宋体"/>
          <w:b/>
          <w:sz w:val="36"/>
          <w:szCs w:val="36"/>
          <w:highlight w:val="none"/>
          <w:lang w:val="zh-CN"/>
        </w:rPr>
      </w:pPr>
      <w:r>
        <w:rPr>
          <w:rFonts w:hint="eastAsia" w:ascii="宋体" w:hAnsi="宋体" w:cs="宋体"/>
          <w:b/>
          <w:kern w:val="0"/>
          <w:sz w:val="24"/>
          <w:szCs w:val="24"/>
          <w:highlight w:val="none"/>
        </w:rPr>
        <w:t>2、对投标活动中可能发生的质疑、投诉行为，须依法在规定的时间内提出。</w:t>
      </w:r>
    </w:p>
    <w:p>
      <w:pPr>
        <w:widowControl/>
        <w:jc w:val="left"/>
        <w:rPr>
          <w:rFonts w:ascii="宋体" w:hAnsi="宋体" w:cs="宋体"/>
          <w:b/>
          <w:sz w:val="36"/>
          <w:szCs w:val="36"/>
          <w:highlight w:val="none"/>
          <w:lang w:val="zh-CN"/>
        </w:rPr>
      </w:pPr>
      <w:r>
        <w:rPr>
          <w:rFonts w:ascii="宋体" w:hAnsi="宋体" w:cs="宋体"/>
          <w:b/>
          <w:sz w:val="36"/>
          <w:szCs w:val="36"/>
          <w:highlight w:val="none"/>
          <w:lang w:val="zh-CN"/>
        </w:rPr>
        <w:br w:type="page"/>
      </w:r>
    </w:p>
    <w:p>
      <w:pPr>
        <w:spacing w:line="480" w:lineRule="exact"/>
        <w:jc w:val="center"/>
        <w:rPr>
          <w:rFonts w:ascii="宋体" w:hAnsi="宋体" w:cs="宋体"/>
          <w:b/>
          <w:sz w:val="36"/>
          <w:szCs w:val="36"/>
          <w:highlight w:val="none"/>
          <w:lang w:val="zh-CN"/>
        </w:rPr>
      </w:pPr>
      <w:r>
        <w:rPr>
          <w:rFonts w:hint="eastAsia" w:ascii="宋体" w:hAnsi="宋体" w:cs="宋体"/>
          <w:b/>
          <w:sz w:val="36"/>
          <w:szCs w:val="36"/>
          <w:highlight w:val="none"/>
          <w:lang w:val="zh-CN"/>
        </w:rPr>
        <w:t>目</w:t>
      </w:r>
      <w:r>
        <w:rPr>
          <w:rFonts w:ascii="宋体" w:hAnsi="宋体" w:cs="宋体"/>
          <w:b/>
          <w:sz w:val="36"/>
          <w:szCs w:val="36"/>
          <w:highlight w:val="none"/>
        </w:rPr>
        <w:t xml:space="preserve">    </w:t>
      </w:r>
      <w:r>
        <w:rPr>
          <w:rFonts w:hint="eastAsia" w:ascii="宋体" w:hAnsi="宋体" w:cs="宋体"/>
          <w:b/>
          <w:sz w:val="36"/>
          <w:szCs w:val="36"/>
          <w:highlight w:val="none"/>
          <w:lang w:val="zh-CN"/>
        </w:rPr>
        <w:t>录</w:t>
      </w:r>
    </w:p>
    <w:p>
      <w:pPr>
        <w:pStyle w:val="39"/>
        <w:tabs>
          <w:tab w:val="right" w:leader="dot" w:pos="9070"/>
        </w:tabs>
        <w:rPr>
          <w:highlight w:val="none"/>
        </w:rPr>
      </w:pPr>
      <w:r>
        <w:rPr>
          <w:rFonts w:cs="宋体" w:asciiTheme="majorEastAsia" w:hAnsiTheme="majorEastAsia" w:eastAsiaTheme="majorEastAsia"/>
          <w:sz w:val="28"/>
          <w:szCs w:val="28"/>
          <w:highlight w:val="none"/>
        </w:rPr>
        <w:fldChar w:fldCharType="begin"/>
      </w:r>
      <w:r>
        <w:rPr>
          <w:rFonts w:cs="宋体" w:asciiTheme="majorEastAsia" w:hAnsiTheme="majorEastAsia" w:eastAsiaTheme="majorEastAsia"/>
          <w:sz w:val="28"/>
          <w:szCs w:val="28"/>
          <w:highlight w:val="none"/>
        </w:rPr>
        <w:instrText xml:space="preserve"> TOC \o "1-3" \h \z \u </w:instrText>
      </w:r>
      <w:r>
        <w:rPr>
          <w:rFonts w:cs="宋体" w:asciiTheme="majorEastAsia" w:hAnsiTheme="majorEastAsia" w:eastAsiaTheme="majorEastAsia"/>
          <w:sz w:val="28"/>
          <w:szCs w:val="28"/>
          <w:highlight w:val="none"/>
        </w:rPr>
        <w:fldChar w:fldCharType="separate"/>
      </w:r>
      <w:r>
        <w:rPr>
          <w:highlight w:val="none"/>
        </w:rPr>
        <w:fldChar w:fldCharType="begin"/>
      </w:r>
      <w:r>
        <w:rPr>
          <w:highlight w:val="none"/>
        </w:rPr>
        <w:instrText xml:space="preserve"> HYPERLINK \l "_Toc30804" </w:instrText>
      </w:r>
      <w:r>
        <w:rPr>
          <w:highlight w:val="none"/>
        </w:rPr>
        <w:fldChar w:fldCharType="separate"/>
      </w:r>
      <w:r>
        <w:rPr>
          <w:rFonts w:hint="eastAsia"/>
          <w:szCs w:val="32"/>
          <w:highlight w:val="none"/>
        </w:rPr>
        <w:t>第一章</w:t>
      </w:r>
      <w:r>
        <w:rPr>
          <w:szCs w:val="32"/>
          <w:highlight w:val="none"/>
        </w:rPr>
        <w:t xml:space="preserve">   </w:t>
      </w:r>
      <w:r>
        <w:rPr>
          <w:rFonts w:hint="eastAsia"/>
          <w:szCs w:val="32"/>
          <w:highlight w:val="none"/>
        </w:rPr>
        <w:t>竞争性磋商公告</w:t>
      </w:r>
      <w:r>
        <w:rPr>
          <w:highlight w:val="none"/>
        </w:rPr>
        <w:tab/>
      </w:r>
      <w:r>
        <w:rPr>
          <w:highlight w:val="none"/>
        </w:rPr>
        <w:fldChar w:fldCharType="begin"/>
      </w:r>
      <w:r>
        <w:rPr>
          <w:highlight w:val="none"/>
        </w:rPr>
        <w:instrText xml:space="preserve"> PAGEREF _Toc30804 \h </w:instrText>
      </w:r>
      <w:r>
        <w:rPr>
          <w:highlight w:val="none"/>
        </w:rPr>
        <w:fldChar w:fldCharType="separate"/>
      </w:r>
      <w:r>
        <w:rPr>
          <w:highlight w:val="none"/>
        </w:rPr>
        <w:t>1</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"_Toc20185" </w:instrText>
      </w:r>
      <w:r>
        <w:rPr>
          <w:highlight w:val="none"/>
        </w:rPr>
        <w:fldChar w:fldCharType="separate"/>
      </w:r>
      <w:r>
        <w:rPr>
          <w:rFonts w:hint="eastAsia" w:ascii="Arial" w:hAnsi="Arial"/>
          <w:szCs w:val="32"/>
          <w:highlight w:val="none"/>
        </w:rPr>
        <w:t>第二章</w:t>
      </w:r>
      <w:r>
        <w:rPr>
          <w:rFonts w:ascii="Arial" w:hAnsi="Arial"/>
          <w:szCs w:val="32"/>
          <w:highlight w:val="none"/>
        </w:rPr>
        <w:t xml:space="preserve">   </w:t>
      </w:r>
      <w:r>
        <w:rPr>
          <w:rFonts w:hint="eastAsia" w:ascii="Arial" w:hAnsi="Arial"/>
          <w:szCs w:val="32"/>
          <w:highlight w:val="none"/>
        </w:rPr>
        <w:t>磋商须知</w:t>
      </w:r>
      <w:r>
        <w:rPr>
          <w:highlight w:val="none"/>
        </w:rPr>
        <w:tab/>
      </w:r>
      <w:r>
        <w:rPr>
          <w:highlight w:val="none"/>
        </w:rPr>
        <w:fldChar w:fldCharType="begin"/>
      </w:r>
      <w:r>
        <w:rPr>
          <w:highlight w:val="none"/>
        </w:rPr>
        <w:instrText xml:space="preserve"> PAGEREF _Toc20185 \h </w:instrText>
      </w:r>
      <w:r>
        <w:rPr>
          <w:highlight w:val="none"/>
        </w:rPr>
        <w:fldChar w:fldCharType="separate"/>
      </w:r>
      <w:r>
        <w:rPr>
          <w:highlight w:val="none"/>
        </w:rPr>
        <w:t>5</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"_Toc7863" </w:instrText>
      </w:r>
      <w:r>
        <w:rPr>
          <w:highlight w:val="none"/>
        </w:rPr>
        <w:fldChar w:fldCharType="separate"/>
      </w:r>
      <w:r>
        <w:rPr>
          <w:rFonts w:hint="eastAsia" w:ascii="宋体" w:hAnsi="宋体" w:cs="Tahoma"/>
          <w:bCs/>
          <w:kern w:val="0"/>
          <w:szCs w:val="32"/>
          <w:highlight w:val="none"/>
        </w:rPr>
        <w:t>第一节</w:t>
      </w:r>
      <w:r>
        <w:rPr>
          <w:rFonts w:ascii="宋体" w:hAnsi="宋体" w:cs="Tahoma"/>
          <w:bCs/>
          <w:kern w:val="0"/>
          <w:szCs w:val="32"/>
          <w:highlight w:val="none"/>
        </w:rPr>
        <w:t xml:space="preserve"> </w:t>
      </w:r>
      <w:r>
        <w:rPr>
          <w:rFonts w:hint="eastAsia" w:ascii="宋体" w:hAnsi="宋体" w:cs="Tahoma"/>
          <w:bCs/>
          <w:kern w:val="0"/>
          <w:szCs w:val="32"/>
          <w:highlight w:val="none"/>
        </w:rPr>
        <w:t>磋商须知前附表</w:t>
      </w:r>
      <w:r>
        <w:rPr>
          <w:highlight w:val="none"/>
        </w:rPr>
        <w:tab/>
      </w:r>
      <w:r>
        <w:rPr>
          <w:highlight w:val="none"/>
        </w:rPr>
        <w:fldChar w:fldCharType="begin"/>
      </w:r>
      <w:r>
        <w:rPr>
          <w:highlight w:val="none"/>
        </w:rPr>
        <w:instrText xml:space="preserve"> PAGEREF _Toc7863 \h </w:instrText>
      </w:r>
      <w:r>
        <w:rPr>
          <w:highlight w:val="none"/>
        </w:rPr>
        <w:fldChar w:fldCharType="separate"/>
      </w:r>
      <w:r>
        <w:rPr>
          <w:highlight w:val="none"/>
        </w:rPr>
        <w:t>5</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"_Toc20486" </w:instrText>
      </w:r>
      <w:r>
        <w:rPr>
          <w:highlight w:val="none"/>
        </w:rPr>
        <w:fldChar w:fldCharType="separate"/>
      </w:r>
      <w:r>
        <w:rPr>
          <w:rFonts w:hint="eastAsia" w:ascii="宋体" w:hAnsi="宋体" w:cs="Tahoma"/>
          <w:bCs/>
          <w:kern w:val="0"/>
          <w:szCs w:val="32"/>
          <w:highlight w:val="none"/>
          <w:lang w:val="zh-CN"/>
        </w:rPr>
        <w:t>第二节</w:t>
      </w:r>
      <w:r>
        <w:rPr>
          <w:rFonts w:ascii="宋体" w:hAnsi="宋体" w:cs="Tahoma"/>
          <w:bCs/>
          <w:kern w:val="0"/>
          <w:szCs w:val="32"/>
          <w:highlight w:val="none"/>
          <w:lang w:val="zh-CN"/>
        </w:rPr>
        <w:t xml:space="preserve"> </w:t>
      </w:r>
      <w:r>
        <w:rPr>
          <w:rFonts w:hint="eastAsia" w:ascii="宋体" w:hAnsi="宋体" w:cs="Tahoma"/>
          <w:bCs/>
          <w:kern w:val="0"/>
          <w:szCs w:val="32"/>
          <w:highlight w:val="none"/>
          <w:lang w:val="zh-CN"/>
        </w:rPr>
        <w:t>竞争性磋商须知</w:t>
      </w:r>
      <w:r>
        <w:rPr>
          <w:highlight w:val="none"/>
        </w:rPr>
        <w:tab/>
      </w:r>
      <w:r>
        <w:rPr>
          <w:highlight w:val="none"/>
        </w:rPr>
        <w:fldChar w:fldCharType="begin"/>
      </w:r>
      <w:r>
        <w:rPr>
          <w:highlight w:val="none"/>
        </w:rPr>
        <w:instrText xml:space="preserve"> PAGEREF _Toc20486 \h </w:instrText>
      </w:r>
      <w:r>
        <w:rPr>
          <w:highlight w:val="none"/>
        </w:rPr>
        <w:fldChar w:fldCharType="separate"/>
      </w:r>
      <w:r>
        <w:rPr>
          <w:highlight w:val="none"/>
        </w:rPr>
        <w:t>6</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"_Toc18383" </w:instrText>
      </w:r>
      <w:r>
        <w:rPr>
          <w:highlight w:val="none"/>
        </w:rPr>
        <w:fldChar w:fldCharType="separate"/>
      </w:r>
      <w:r>
        <w:rPr>
          <w:rFonts w:hint="eastAsia" w:ascii="宋体" w:hAnsi="宋体"/>
          <w:bCs/>
          <w:szCs w:val="21"/>
          <w:highlight w:val="none"/>
          <w:lang w:val="zh-CN"/>
        </w:rPr>
        <w:t>一、总</w:t>
      </w:r>
      <w:r>
        <w:rPr>
          <w:rFonts w:ascii="宋体" w:hAnsi="宋体"/>
          <w:bCs/>
          <w:szCs w:val="21"/>
          <w:highlight w:val="none"/>
          <w:lang w:val="zh-CN"/>
        </w:rPr>
        <w:t xml:space="preserve">    </w:t>
      </w:r>
      <w:r>
        <w:rPr>
          <w:rFonts w:hint="eastAsia" w:ascii="宋体" w:hAnsi="宋体"/>
          <w:bCs/>
          <w:szCs w:val="21"/>
          <w:highlight w:val="none"/>
          <w:lang w:val="zh-CN"/>
        </w:rPr>
        <w:t>则</w:t>
      </w:r>
      <w:r>
        <w:rPr>
          <w:highlight w:val="none"/>
        </w:rPr>
        <w:tab/>
      </w:r>
      <w:r>
        <w:rPr>
          <w:highlight w:val="none"/>
        </w:rPr>
        <w:fldChar w:fldCharType="begin"/>
      </w:r>
      <w:r>
        <w:rPr>
          <w:highlight w:val="none"/>
        </w:rPr>
        <w:instrText xml:space="preserve"> PAGEREF _Toc18383 \h </w:instrText>
      </w:r>
      <w:r>
        <w:rPr>
          <w:highlight w:val="none"/>
        </w:rPr>
        <w:fldChar w:fldCharType="separate"/>
      </w:r>
      <w:r>
        <w:rPr>
          <w:highlight w:val="none"/>
        </w:rPr>
        <w:t>6</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"_Toc12803" </w:instrText>
      </w:r>
      <w:r>
        <w:rPr>
          <w:highlight w:val="none"/>
        </w:rPr>
        <w:fldChar w:fldCharType="separate"/>
      </w:r>
      <w:r>
        <w:rPr>
          <w:rFonts w:hint="eastAsia" w:ascii="宋体" w:hAnsi="宋体"/>
          <w:bCs/>
          <w:szCs w:val="21"/>
          <w:highlight w:val="none"/>
          <w:lang w:val="zh-CN"/>
        </w:rPr>
        <w:t>二、磋商文件</w:t>
      </w:r>
      <w:r>
        <w:rPr>
          <w:highlight w:val="none"/>
        </w:rPr>
        <w:tab/>
      </w:r>
      <w:r>
        <w:rPr>
          <w:highlight w:val="none"/>
        </w:rPr>
        <w:fldChar w:fldCharType="begin"/>
      </w:r>
      <w:r>
        <w:rPr>
          <w:highlight w:val="none"/>
        </w:rPr>
        <w:instrText xml:space="preserve"> PAGEREF _Toc12803 \h </w:instrText>
      </w:r>
      <w:r>
        <w:rPr>
          <w:highlight w:val="none"/>
        </w:rPr>
        <w:fldChar w:fldCharType="separate"/>
      </w:r>
      <w:r>
        <w:rPr>
          <w:highlight w:val="none"/>
        </w:rPr>
        <w:t>7</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"_Toc24744" </w:instrText>
      </w:r>
      <w:r>
        <w:rPr>
          <w:highlight w:val="none"/>
        </w:rPr>
        <w:fldChar w:fldCharType="separate"/>
      </w:r>
      <w:r>
        <w:rPr>
          <w:highlight w:val="none"/>
        </w:rPr>
        <w:t xml:space="preserve">三、 </w:t>
      </w:r>
      <w:r>
        <w:rPr>
          <w:rFonts w:hint="eastAsia"/>
          <w:highlight w:val="none"/>
        </w:rPr>
        <w:t>响应文件编制</w:t>
      </w:r>
      <w:r>
        <w:rPr>
          <w:highlight w:val="none"/>
        </w:rPr>
        <w:tab/>
      </w:r>
      <w:r>
        <w:rPr>
          <w:highlight w:val="none"/>
        </w:rPr>
        <w:fldChar w:fldCharType="begin"/>
      </w:r>
      <w:r>
        <w:rPr>
          <w:highlight w:val="none"/>
        </w:rPr>
        <w:instrText xml:space="preserve"> PAGEREF _Toc24744 \h </w:instrText>
      </w:r>
      <w:r>
        <w:rPr>
          <w:highlight w:val="none"/>
        </w:rPr>
        <w:fldChar w:fldCharType="separate"/>
      </w:r>
      <w:r>
        <w:rPr>
          <w:highlight w:val="none"/>
        </w:rPr>
        <w:t>9</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"_Toc10023" </w:instrText>
      </w:r>
      <w:r>
        <w:rPr>
          <w:highlight w:val="none"/>
        </w:rPr>
        <w:fldChar w:fldCharType="separate"/>
      </w:r>
      <w:r>
        <w:rPr>
          <w:rFonts w:hint="eastAsia" w:cs="宋体"/>
          <w:highlight w:val="none"/>
        </w:rPr>
        <w:t>四、响应文件的提交</w:t>
      </w:r>
      <w:r>
        <w:rPr>
          <w:highlight w:val="none"/>
        </w:rPr>
        <w:tab/>
      </w:r>
      <w:r>
        <w:rPr>
          <w:highlight w:val="none"/>
        </w:rPr>
        <w:fldChar w:fldCharType="begin"/>
      </w:r>
      <w:r>
        <w:rPr>
          <w:highlight w:val="none"/>
        </w:rPr>
        <w:instrText xml:space="preserve"> PAGEREF _Toc10023 \h </w:instrText>
      </w:r>
      <w:r>
        <w:rPr>
          <w:highlight w:val="none"/>
        </w:rPr>
        <w:fldChar w:fldCharType="separate"/>
      </w:r>
      <w:r>
        <w:rPr>
          <w:highlight w:val="none"/>
        </w:rPr>
        <w:t>11</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"_Toc19923" </w:instrText>
      </w:r>
      <w:r>
        <w:rPr>
          <w:highlight w:val="none"/>
        </w:rPr>
        <w:fldChar w:fldCharType="separate"/>
      </w:r>
      <w:r>
        <w:rPr>
          <w:rFonts w:hint="eastAsia" w:cs="宋体"/>
          <w:highlight w:val="none"/>
        </w:rPr>
        <w:t>五、磋商</w:t>
      </w:r>
      <w:r>
        <w:rPr>
          <w:highlight w:val="none"/>
        </w:rPr>
        <w:tab/>
      </w:r>
      <w:r>
        <w:rPr>
          <w:highlight w:val="none"/>
        </w:rPr>
        <w:fldChar w:fldCharType="begin"/>
      </w:r>
      <w:r>
        <w:rPr>
          <w:highlight w:val="none"/>
        </w:rPr>
        <w:instrText xml:space="preserve"> PAGEREF _Toc19923 \h </w:instrText>
      </w:r>
      <w:r>
        <w:rPr>
          <w:highlight w:val="none"/>
        </w:rPr>
        <w:fldChar w:fldCharType="separate"/>
      </w:r>
      <w:r>
        <w:rPr>
          <w:highlight w:val="none"/>
        </w:rPr>
        <w:t>12</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"_Toc22280" </w:instrText>
      </w:r>
      <w:r>
        <w:rPr>
          <w:highlight w:val="none"/>
        </w:rPr>
        <w:fldChar w:fldCharType="separate"/>
      </w:r>
      <w:r>
        <w:rPr>
          <w:rFonts w:hint="eastAsia" w:cs="宋体"/>
          <w:highlight w:val="none"/>
        </w:rPr>
        <w:t>六、评标</w:t>
      </w:r>
      <w:r>
        <w:rPr>
          <w:highlight w:val="none"/>
        </w:rPr>
        <w:tab/>
      </w:r>
      <w:r>
        <w:rPr>
          <w:highlight w:val="none"/>
        </w:rPr>
        <w:fldChar w:fldCharType="begin"/>
      </w:r>
      <w:r>
        <w:rPr>
          <w:highlight w:val="none"/>
        </w:rPr>
        <w:instrText xml:space="preserve"> PAGEREF _Toc22280 \h </w:instrText>
      </w:r>
      <w:r>
        <w:rPr>
          <w:highlight w:val="none"/>
        </w:rPr>
        <w:fldChar w:fldCharType="separate"/>
      </w:r>
      <w:r>
        <w:rPr>
          <w:highlight w:val="none"/>
        </w:rPr>
        <w:t>13</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"_Toc16555" </w:instrText>
      </w:r>
      <w:r>
        <w:rPr>
          <w:highlight w:val="none"/>
        </w:rPr>
        <w:fldChar w:fldCharType="separate"/>
      </w:r>
      <w:r>
        <w:rPr>
          <w:rFonts w:hint="eastAsia" w:ascii="Arial" w:hAnsi="Arial"/>
          <w:szCs w:val="32"/>
          <w:highlight w:val="none"/>
        </w:rPr>
        <w:t>第三章</w:t>
      </w:r>
      <w:r>
        <w:rPr>
          <w:rFonts w:ascii="Arial" w:hAnsi="Arial"/>
          <w:szCs w:val="32"/>
          <w:highlight w:val="none"/>
        </w:rPr>
        <w:t xml:space="preserve">  </w:t>
      </w:r>
      <w:r>
        <w:rPr>
          <w:rFonts w:ascii="Arial" w:hAnsi="Arial"/>
          <w:szCs w:val="32"/>
          <w:highlight w:val="none"/>
          <w:lang w:val="zh-CN"/>
        </w:rPr>
        <w:t xml:space="preserve">  </w:t>
      </w:r>
      <w:r>
        <w:rPr>
          <w:rFonts w:hint="eastAsia" w:ascii="Arial" w:hAnsi="Arial"/>
          <w:szCs w:val="32"/>
          <w:highlight w:val="none"/>
          <w:lang w:val="zh-CN"/>
        </w:rPr>
        <w:t>服务需求及技术要求</w:t>
      </w:r>
      <w:r>
        <w:rPr>
          <w:highlight w:val="none"/>
        </w:rPr>
        <w:tab/>
      </w:r>
      <w:r>
        <w:rPr>
          <w:highlight w:val="none"/>
        </w:rPr>
        <w:fldChar w:fldCharType="begin"/>
      </w:r>
      <w:r>
        <w:rPr>
          <w:highlight w:val="none"/>
        </w:rPr>
        <w:instrText xml:space="preserve"> PAGEREF _Toc16555 \h </w:instrText>
      </w:r>
      <w:r>
        <w:rPr>
          <w:highlight w:val="none"/>
        </w:rPr>
        <w:fldChar w:fldCharType="separate"/>
      </w:r>
      <w:r>
        <w:rPr>
          <w:highlight w:val="none"/>
        </w:rPr>
        <w:t>21</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"_Toc15663" </w:instrText>
      </w:r>
      <w:r>
        <w:rPr>
          <w:highlight w:val="none"/>
        </w:rPr>
        <w:fldChar w:fldCharType="separate"/>
      </w:r>
      <w:r>
        <w:rPr>
          <w:rFonts w:hint="eastAsia" w:ascii="Arial" w:hAnsi="Arial"/>
          <w:szCs w:val="32"/>
          <w:highlight w:val="none"/>
        </w:rPr>
        <w:t>第四章</w:t>
      </w:r>
      <w:r>
        <w:rPr>
          <w:rFonts w:ascii="Arial" w:hAnsi="Arial"/>
          <w:szCs w:val="32"/>
          <w:highlight w:val="none"/>
        </w:rPr>
        <w:t xml:space="preserve">     </w:t>
      </w:r>
      <w:r>
        <w:rPr>
          <w:rFonts w:hint="eastAsia" w:ascii="Arial" w:hAnsi="Arial"/>
          <w:szCs w:val="32"/>
          <w:highlight w:val="none"/>
        </w:rPr>
        <w:t>合同主要条款</w:t>
      </w:r>
      <w:r>
        <w:rPr>
          <w:highlight w:val="none"/>
        </w:rPr>
        <w:tab/>
      </w:r>
      <w:r>
        <w:rPr>
          <w:highlight w:val="none"/>
        </w:rPr>
        <w:fldChar w:fldCharType="begin"/>
      </w:r>
      <w:r>
        <w:rPr>
          <w:highlight w:val="none"/>
        </w:rPr>
        <w:instrText xml:space="preserve"> PAGEREF _Toc15663 \h </w:instrText>
      </w:r>
      <w:r>
        <w:rPr>
          <w:highlight w:val="none"/>
        </w:rPr>
        <w:fldChar w:fldCharType="separate"/>
      </w:r>
      <w:r>
        <w:rPr>
          <w:highlight w:val="none"/>
        </w:rPr>
        <w:t>26</w:t>
      </w:r>
      <w:r>
        <w:rPr>
          <w:highlight w:val="none"/>
        </w:rPr>
        <w:fldChar w:fldCharType="end"/>
      </w:r>
      <w:r>
        <w:rPr>
          <w:highlight w:val="none"/>
        </w:rPr>
        <w:fldChar w:fldCharType="end"/>
      </w:r>
    </w:p>
    <w:p>
      <w:pPr>
        <w:pStyle w:val="39"/>
        <w:tabs>
          <w:tab w:val="right" w:leader="dot" w:pos="9070"/>
        </w:tabs>
        <w:rPr>
          <w:highlight w:val="none"/>
        </w:rPr>
      </w:pPr>
      <w:r>
        <w:rPr>
          <w:highlight w:val="none"/>
        </w:rPr>
        <w:fldChar w:fldCharType="begin"/>
      </w:r>
      <w:r>
        <w:rPr>
          <w:highlight w:val="none"/>
        </w:rPr>
        <w:instrText xml:space="preserve"> HYPERLINK \l "_Toc32712" </w:instrText>
      </w:r>
      <w:r>
        <w:rPr>
          <w:highlight w:val="none"/>
        </w:rPr>
        <w:fldChar w:fldCharType="separate"/>
      </w:r>
      <w:r>
        <w:rPr>
          <w:rFonts w:hint="eastAsia" w:ascii="Arial" w:hAnsi="Arial"/>
          <w:szCs w:val="36"/>
          <w:highlight w:val="none"/>
          <w:lang w:val="zh-CN"/>
        </w:rPr>
        <w:t>第五章</w:t>
      </w:r>
      <w:r>
        <w:rPr>
          <w:rFonts w:ascii="Arial" w:hAnsi="Arial"/>
          <w:szCs w:val="36"/>
          <w:highlight w:val="none"/>
          <w:lang w:val="zh-CN"/>
        </w:rPr>
        <w:t xml:space="preserve">  </w:t>
      </w:r>
      <w:r>
        <w:rPr>
          <w:rFonts w:hint="eastAsia" w:ascii="Arial" w:hAnsi="Arial"/>
          <w:szCs w:val="36"/>
          <w:highlight w:val="none"/>
        </w:rPr>
        <w:t>响应文件格式</w:t>
      </w:r>
      <w:r>
        <w:rPr>
          <w:highlight w:val="none"/>
        </w:rPr>
        <w:tab/>
      </w:r>
      <w:r>
        <w:rPr>
          <w:highlight w:val="none"/>
        </w:rPr>
        <w:fldChar w:fldCharType="begin"/>
      </w:r>
      <w:r>
        <w:rPr>
          <w:highlight w:val="none"/>
        </w:rPr>
        <w:instrText xml:space="preserve"> PAGEREF _Toc32712 \h </w:instrText>
      </w:r>
      <w:r>
        <w:rPr>
          <w:highlight w:val="none"/>
        </w:rPr>
        <w:fldChar w:fldCharType="separate"/>
      </w:r>
      <w:r>
        <w:rPr>
          <w:highlight w:val="none"/>
        </w:rPr>
        <w:t>28</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"_Toc8767" </w:instrText>
      </w:r>
      <w:r>
        <w:rPr>
          <w:highlight w:val="none"/>
        </w:rPr>
        <w:fldChar w:fldCharType="separate"/>
      </w:r>
      <w:r>
        <w:rPr>
          <w:rFonts w:hint="eastAsia" w:cs="宋体"/>
          <w:szCs w:val="28"/>
          <w:highlight w:val="none"/>
        </w:rPr>
        <w:t>一、磋商响应函</w:t>
      </w:r>
      <w:r>
        <w:rPr>
          <w:highlight w:val="none"/>
        </w:rPr>
        <w:tab/>
      </w:r>
      <w:r>
        <w:rPr>
          <w:highlight w:val="none"/>
        </w:rPr>
        <w:fldChar w:fldCharType="begin"/>
      </w:r>
      <w:r>
        <w:rPr>
          <w:highlight w:val="none"/>
        </w:rPr>
        <w:instrText xml:space="preserve"> PAGEREF _Toc8767 \h </w:instrText>
      </w:r>
      <w:r>
        <w:rPr>
          <w:highlight w:val="none"/>
        </w:rPr>
        <w:fldChar w:fldCharType="separate"/>
      </w:r>
      <w:r>
        <w:rPr>
          <w:highlight w:val="none"/>
        </w:rPr>
        <w:t>30</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"_Toc1030" </w:instrText>
      </w:r>
      <w:r>
        <w:rPr>
          <w:highlight w:val="none"/>
        </w:rPr>
        <w:fldChar w:fldCharType="separate"/>
      </w:r>
      <w:r>
        <w:rPr>
          <w:szCs w:val="28"/>
          <w:highlight w:val="none"/>
        </w:rPr>
        <w:t xml:space="preserve">二、 </w:t>
      </w:r>
      <w:r>
        <w:rPr>
          <w:rFonts w:hint="eastAsia" w:cs="宋体"/>
          <w:szCs w:val="28"/>
          <w:highlight w:val="none"/>
        </w:rPr>
        <w:t>服务报价表</w:t>
      </w:r>
      <w:r>
        <w:rPr>
          <w:highlight w:val="none"/>
        </w:rPr>
        <w:tab/>
      </w:r>
      <w:r>
        <w:rPr>
          <w:highlight w:val="none"/>
        </w:rPr>
        <w:fldChar w:fldCharType="begin"/>
      </w:r>
      <w:r>
        <w:rPr>
          <w:highlight w:val="none"/>
        </w:rPr>
        <w:instrText xml:space="preserve"> PAGEREF _Toc1030 \h </w:instrText>
      </w:r>
      <w:r>
        <w:rPr>
          <w:highlight w:val="none"/>
        </w:rPr>
        <w:fldChar w:fldCharType="separate"/>
      </w:r>
      <w:r>
        <w:rPr>
          <w:highlight w:val="none"/>
        </w:rPr>
        <w:t>31</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"_Toc11099" </w:instrText>
      </w:r>
      <w:r>
        <w:rPr>
          <w:highlight w:val="none"/>
        </w:rPr>
        <w:fldChar w:fldCharType="separate"/>
      </w:r>
      <w:r>
        <w:rPr>
          <w:rFonts w:hint="eastAsia" w:cs="宋体"/>
          <w:szCs w:val="28"/>
          <w:highlight w:val="none"/>
        </w:rPr>
        <w:t>三、服务内容及质量要求响应表</w:t>
      </w:r>
      <w:r>
        <w:rPr>
          <w:highlight w:val="none"/>
        </w:rPr>
        <w:tab/>
      </w:r>
      <w:r>
        <w:rPr>
          <w:highlight w:val="none"/>
        </w:rPr>
        <w:fldChar w:fldCharType="begin"/>
      </w:r>
      <w:r>
        <w:rPr>
          <w:highlight w:val="none"/>
        </w:rPr>
        <w:instrText xml:space="preserve"> PAGEREF _Toc11099 \h </w:instrText>
      </w:r>
      <w:r>
        <w:rPr>
          <w:highlight w:val="none"/>
        </w:rPr>
        <w:fldChar w:fldCharType="separate"/>
      </w:r>
      <w:r>
        <w:rPr>
          <w:highlight w:val="none"/>
        </w:rPr>
        <w:t>32</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"_Toc5836" </w:instrText>
      </w:r>
      <w:r>
        <w:rPr>
          <w:highlight w:val="none"/>
        </w:rPr>
        <w:fldChar w:fldCharType="separate"/>
      </w:r>
      <w:r>
        <w:rPr>
          <w:szCs w:val="28"/>
          <w:highlight w:val="none"/>
        </w:rPr>
        <w:t xml:space="preserve">四、 </w:t>
      </w:r>
      <w:r>
        <w:rPr>
          <w:rFonts w:hint="eastAsia" w:cs="宋体"/>
          <w:szCs w:val="28"/>
          <w:highlight w:val="none"/>
        </w:rPr>
        <w:t>最后报价表</w:t>
      </w:r>
      <w:r>
        <w:rPr>
          <w:highlight w:val="none"/>
        </w:rPr>
        <w:tab/>
      </w:r>
      <w:r>
        <w:rPr>
          <w:highlight w:val="none"/>
        </w:rPr>
        <w:fldChar w:fldCharType="begin"/>
      </w:r>
      <w:r>
        <w:rPr>
          <w:highlight w:val="none"/>
        </w:rPr>
        <w:instrText xml:space="preserve"> PAGEREF _Toc5836 \h </w:instrText>
      </w:r>
      <w:r>
        <w:rPr>
          <w:highlight w:val="none"/>
        </w:rPr>
        <w:fldChar w:fldCharType="separate"/>
      </w:r>
      <w:r>
        <w:rPr>
          <w:highlight w:val="none"/>
        </w:rPr>
        <w:t>33</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"_Toc6619" </w:instrText>
      </w:r>
      <w:r>
        <w:rPr>
          <w:highlight w:val="none"/>
        </w:rPr>
        <w:fldChar w:fldCharType="separate"/>
      </w:r>
      <w:r>
        <w:rPr>
          <w:rFonts w:hint="eastAsia" w:cs="宋体"/>
          <w:szCs w:val="28"/>
          <w:highlight w:val="none"/>
        </w:rPr>
        <w:t>五、服务方案</w:t>
      </w:r>
      <w:r>
        <w:rPr>
          <w:highlight w:val="none"/>
        </w:rPr>
        <w:tab/>
      </w:r>
      <w:r>
        <w:rPr>
          <w:highlight w:val="none"/>
        </w:rPr>
        <w:fldChar w:fldCharType="begin"/>
      </w:r>
      <w:r>
        <w:rPr>
          <w:highlight w:val="none"/>
        </w:rPr>
        <w:instrText xml:space="preserve"> PAGEREF _Toc6619 \h </w:instrText>
      </w:r>
      <w:r>
        <w:rPr>
          <w:highlight w:val="none"/>
        </w:rPr>
        <w:fldChar w:fldCharType="separate"/>
      </w:r>
      <w:r>
        <w:rPr>
          <w:highlight w:val="none"/>
        </w:rPr>
        <w:t>34</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"_Toc17267" </w:instrText>
      </w:r>
      <w:r>
        <w:rPr>
          <w:highlight w:val="none"/>
        </w:rPr>
        <w:fldChar w:fldCharType="separate"/>
      </w:r>
      <w:r>
        <w:rPr>
          <w:rFonts w:hint="eastAsia" w:cs="宋体"/>
          <w:szCs w:val="28"/>
          <w:highlight w:val="none"/>
        </w:rPr>
        <w:t>六、诚信响应承诺书</w:t>
      </w:r>
      <w:r>
        <w:rPr>
          <w:highlight w:val="none"/>
        </w:rPr>
        <w:tab/>
      </w:r>
      <w:r>
        <w:rPr>
          <w:highlight w:val="none"/>
        </w:rPr>
        <w:fldChar w:fldCharType="begin"/>
      </w:r>
      <w:r>
        <w:rPr>
          <w:highlight w:val="none"/>
        </w:rPr>
        <w:instrText xml:space="preserve"> PAGEREF _Toc17267 \h </w:instrText>
      </w:r>
      <w:r>
        <w:rPr>
          <w:highlight w:val="none"/>
        </w:rPr>
        <w:fldChar w:fldCharType="separate"/>
      </w:r>
      <w:r>
        <w:rPr>
          <w:highlight w:val="none"/>
        </w:rPr>
        <w:t>35</w:t>
      </w:r>
      <w:r>
        <w:rPr>
          <w:highlight w:val="none"/>
        </w:rPr>
        <w:fldChar w:fldCharType="end"/>
      </w:r>
      <w:r>
        <w:rPr>
          <w:highlight w:val="none"/>
        </w:rPr>
        <w:fldChar w:fldCharType="end"/>
      </w:r>
    </w:p>
    <w:p>
      <w:pPr>
        <w:pStyle w:val="28"/>
        <w:tabs>
          <w:tab w:val="right" w:leader="dot" w:pos="9070"/>
        </w:tabs>
        <w:rPr>
          <w:highlight w:val="none"/>
        </w:rPr>
      </w:pPr>
      <w:r>
        <w:rPr>
          <w:highlight w:val="none"/>
        </w:rPr>
        <w:fldChar w:fldCharType="begin"/>
      </w:r>
      <w:r>
        <w:rPr>
          <w:highlight w:val="none"/>
        </w:rPr>
        <w:instrText xml:space="preserve"> HYPERLINK \l "_Toc26001" </w:instrText>
      </w:r>
      <w:r>
        <w:rPr>
          <w:highlight w:val="none"/>
        </w:rPr>
        <w:fldChar w:fldCharType="separate"/>
      </w:r>
      <w:r>
        <w:rPr>
          <w:rFonts w:hint="eastAsia"/>
          <w:highlight w:val="none"/>
        </w:rPr>
        <w:t>七、资格证明文件</w:t>
      </w:r>
      <w:r>
        <w:rPr>
          <w:highlight w:val="none"/>
        </w:rPr>
        <w:tab/>
      </w:r>
      <w:r>
        <w:rPr>
          <w:highlight w:val="none"/>
        </w:rPr>
        <w:fldChar w:fldCharType="begin"/>
      </w:r>
      <w:r>
        <w:rPr>
          <w:highlight w:val="none"/>
        </w:rPr>
        <w:instrText xml:space="preserve"> PAGEREF _Toc26001 \h </w:instrText>
      </w:r>
      <w:r>
        <w:rPr>
          <w:highlight w:val="none"/>
        </w:rPr>
        <w:fldChar w:fldCharType="separate"/>
      </w:r>
      <w:r>
        <w:rPr>
          <w:highlight w:val="none"/>
        </w:rPr>
        <w:t>36</w:t>
      </w:r>
      <w:r>
        <w:rPr>
          <w:highlight w:val="none"/>
        </w:rPr>
        <w:fldChar w:fldCharType="end"/>
      </w:r>
      <w:r>
        <w:rPr>
          <w:highlight w:val="none"/>
        </w:rPr>
        <w:fldChar w:fldCharType="end"/>
      </w:r>
    </w:p>
    <w:p>
      <w:pPr>
        <w:pStyle w:val="28"/>
        <w:tabs>
          <w:tab w:val="right" w:leader="dot" w:pos="9060"/>
        </w:tabs>
        <w:spacing w:line="360" w:lineRule="auto"/>
        <w:rPr>
          <w:szCs w:val="21"/>
          <w:highlight w:val="none"/>
        </w:rPr>
        <w:sectPr>
          <w:footerReference r:id="rId6" w:type="default"/>
          <w:pgSz w:w="11906" w:h="16838"/>
          <w:pgMar w:top="1418" w:right="1418" w:bottom="1418" w:left="1418" w:header="851" w:footer="680" w:gutter="0"/>
          <w:pgBorders>
            <w:bottom w:val="single" w:color="auto" w:sz="4" w:space="1"/>
          </w:pgBorders>
          <w:pgNumType w:fmt="koreanDigital" w:start="0"/>
          <w:cols w:space="720" w:num="1"/>
          <w:docGrid w:linePitch="290" w:charSpace="0"/>
        </w:sectPr>
      </w:pPr>
      <w:r>
        <w:rPr>
          <w:rFonts w:cs="宋体" w:asciiTheme="majorEastAsia" w:hAnsiTheme="majorEastAsia" w:eastAsiaTheme="majorEastAsia"/>
          <w:szCs w:val="28"/>
          <w:highlight w:val="none"/>
        </w:rPr>
        <w:fldChar w:fldCharType="end"/>
      </w:r>
      <w:bookmarkStart w:id="0" w:name="_Toc21464"/>
      <w:bookmarkStart w:id="1" w:name="_Toc439316870"/>
    </w:p>
    <w:p>
      <w:pPr>
        <w:pStyle w:val="2"/>
        <w:spacing w:before="62" w:beforeLines="20" w:after="62" w:afterLines="20" w:line="480" w:lineRule="exact"/>
        <w:ind w:firstLine="0" w:firstLineChars="0"/>
        <w:jc w:val="center"/>
        <w:rPr>
          <w:rFonts w:ascii="Arial" w:hAnsi="Arial"/>
          <w:kern w:val="2"/>
          <w:sz w:val="32"/>
          <w:szCs w:val="32"/>
          <w:highlight w:val="none"/>
        </w:rPr>
      </w:pPr>
      <w:bookmarkStart w:id="2" w:name="_Toc30804"/>
      <w:r>
        <w:rPr>
          <w:rFonts w:hint="eastAsia"/>
          <w:kern w:val="2"/>
          <w:sz w:val="32"/>
          <w:szCs w:val="32"/>
          <w:highlight w:val="none"/>
        </w:rPr>
        <w:t>第一章</w:t>
      </w:r>
      <w:r>
        <w:rPr>
          <w:kern w:val="2"/>
          <w:sz w:val="32"/>
          <w:szCs w:val="32"/>
          <w:highlight w:val="none"/>
        </w:rPr>
        <w:t xml:space="preserve">   </w:t>
      </w:r>
      <w:r>
        <w:rPr>
          <w:rFonts w:hint="eastAsia"/>
          <w:kern w:val="2"/>
          <w:sz w:val="32"/>
          <w:szCs w:val="32"/>
          <w:highlight w:val="none"/>
        </w:rPr>
        <w:t>竞争性磋商</w:t>
      </w:r>
      <w:bookmarkEnd w:id="0"/>
      <w:r>
        <w:rPr>
          <w:rFonts w:hint="eastAsia"/>
          <w:kern w:val="2"/>
          <w:sz w:val="32"/>
          <w:szCs w:val="32"/>
          <w:highlight w:val="none"/>
        </w:rPr>
        <w:t>公告</w:t>
      </w:r>
      <w:bookmarkEnd w:id="2"/>
    </w:p>
    <w:p>
      <w:pPr>
        <w:jc w:val="center"/>
        <w:rPr>
          <w:rFonts w:ascii="华文中宋" w:hAnsi="华文中宋" w:eastAsia="华文中宋"/>
          <w:b/>
          <w:bCs/>
          <w:kern w:val="44"/>
          <w:sz w:val="32"/>
          <w:szCs w:val="32"/>
          <w:highlight w:val="none"/>
        </w:rPr>
      </w:pPr>
      <w:bookmarkStart w:id="3" w:name="_Toc28359011"/>
      <w:bookmarkStart w:id="4" w:name="_Toc35393797"/>
      <w:r>
        <w:rPr>
          <w:rFonts w:hint="eastAsia" w:ascii="华文中宋" w:hAnsi="华文中宋" w:eastAsia="华文中宋"/>
          <w:b/>
          <w:bCs/>
          <w:kern w:val="44"/>
          <w:sz w:val="32"/>
          <w:szCs w:val="32"/>
          <w:highlight w:val="none"/>
        </w:rPr>
        <w:t>安庆职业技术学院网络安全等级保护测评项目竞争性磋商</w:t>
      </w:r>
    </w:p>
    <w:p>
      <w:pPr>
        <w:jc w:val="center"/>
        <w:rPr>
          <w:rFonts w:ascii="华文中宋" w:hAnsi="华文中宋" w:eastAsia="华文中宋"/>
          <w:b/>
          <w:bCs/>
          <w:kern w:val="44"/>
          <w:sz w:val="32"/>
          <w:szCs w:val="32"/>
          <w:highlight w:val="none"/>
        </w:rPr>
      </w:pPr>
      <w:r>
        <w:rPr>
          <w:rFonts w:hint="eastAsia" w:ascii="华文中宋" w:hAnsi="华文中宋" w:eastAsia="华文中宋"/>
          <w:b/>
          <w:bCs/>
          <w:kern w:val="44"/>
          <w:sz w:val="32"/>
          <w:szCs w:val="32"/>
          <w:highlight w:val="none"/>
        </w:rPr>
        <w:t>公告</w:t>
      </w:r>
      <w:bookmarkEnd w:id="3"/>
      <w:bookmarkEnd w:id="4"/>
    </w:p>
    <w:tbl>
      <w:tblPr>
        <w:tblStyle w:val="60"/>
        <w:tblW w:w="8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70" w:type="dxa"/>
            <w:tcBorders>
              <w:top w:val="single" w:color="auto" w:sz="4" w:space="0"/>
              <w:left w:val="single" w:color="auto" w:sz="4" w:space="0"/>
              <w:bottom w:val="single" w:color="auto" w:sz="4" w:space="0"/>
              <w:right w:val="single" w:color="auto" w:sz="4" w:space="0"/>
            </w:tcBorders>
            <w:shd w:val="clear" w:color="auto" w:fill="auto"/>
          </w:tcPr>
          <w:p>
            <w:pPr>
              <w:rPr>
                <w:rFonts w:ascii="仿宋" w:hAnsi="仿宋" w:eastAsia="仿宋"/>
                <w:sz w:val="28"/>
                <w:szCs w:val="28"/>
                <w:highlight w:val="none"/>
              </w:rPr>
            </w:pPr>
            <w:r>
              <w:rPr>
                <w:rFonts w:hint="eastAsia" w:ascii="仿宋" w:hAnsi="仿宋" w:eastAsia="仿宋"/>
                <w:sz w:val="28"/>
                <w:szCs w:val="28"/>
                <w:highlight w:val="none"/>
              </w:rPr>
              <w:t>项目概况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highlight w:val="none"/>
              </w:rPr>
            </w:pPr>
            <w:r>
              <w:rPr>
                <w:rFonts w:hint="eastAsia" w:ascii="仿宋" w:hAnsi="仿宋" w:eastAsia="仿宋"/>
                <w:sz w:val="28"/>
                <w:szCs w:val="28"/>
                <w:highlight w:val="none"/>
                <w:u w:val="single"/>
              </w:rPr>
              <w:t>安庆职业技术学院网络安全等级保护测评项目</w:t>
            </w:r>
            <w:r>
              <w:rPr>
                <w:rFonts w:hint="eastAsia" w:ascii="仿宋" w:hAnsi="仿宋" w:eastAsia="仿宋"/>
                <w:sz w:val="28"/>
                <w:szCs w:val="28"/>
                <w:highlight w:val="none"/>
              </w:rPr>
              <w:t>的潜在供应商应于2021</w:t>
            </w:r>
            <w:r>
              <w:rPr>
                <w:rFonts w:hint="eastAsia" w:ascii="仿宋" w:hAnsi="仿宋" w:eastAsia="仿宋"/>
                <w:sz w:val="28"/>
                <w:szCs w:val="28"/>
                <w:highlight w:val="none"/>
              </w:rPr>
              <w:t>年11月</w:t>
            </w:r>
            <w:r>
              <w:rPr>
                <w:rFonts w:hint="eastAsia" w:ascii="仿宋" w:hAnsi="仿宋" w:eastAsia="仿宋"/>
                <w:sz w:val="28"/>
                <w:szCs w:val="28"/>
                <w:highlight w:val="none"/>
                <w:lang w:val="en-US" w:eastAsia="zh-CN"/>
              </w:rPr>
              <w:t>24</w:t>
            </w:r>
            <w:r>
              <w:rPr>
                <w:rFonts w:hint="eastAsia" w:ascii="仿宋" w:hAnsi="仿宋" w:eastAsia="仿宋"/>
                <w:sz w:val="28"/>
                <w:szCs w:val="28"/>
                <w:highlight w:val="none"/>
              </w:rPr>
              <w:t>日</w:t>
            </w:r>
            <w:r>
              <w:rPr>
                <w:rFonts w:hint="eastAsia" w:ascii="仿宋" w:hAnsi="仿宋" w:eastAsia="仿宋"/>
                <w:sz w:val="28"/>
                <w:szCs w:val="28"/>
                <w:highlight w:val="none"/>
                <w:lang w:val="en-US" w:eastAsia="zh-CN"/>
              </w:rPr>
              <w:t>15</w:t>
            </w:r>
            <w:r>
              <w:rPr>
                <w:rFonts w:hint="eastAsia" w:ascii="仿宋" w:hAnsi="仿宋" w:eastAsia="仿宋"/>
                <w:sz w:val="28"/>
                <w:szCs w:val="28"/>
                <w:highlight w:val="none"/>
              </w:rPr>
              <w:t>点</w:t>
            </w:r>
            <w:r>
              <w:rPr>
                <w:rFonts w:hint="eastAsia" w:ascii="仿宋" w:hAnsi="仿宋" w:eastAsia="仿宋"/>
                <w:sz w:val="28"/>
                <w:szCs w:val="28"/>
                <w:highlight w:val="none"/>
                <w:lang w:val="en-US" w:eastAsia="zh-CN"/>
              </w:rPr>
              <w:t>30</w:t>
            </w:r>
            <w:r>
              <w:rPr>
                <w:rFonts w:hint="eastAsia" w:ascii="仿宋" w:hAnsi="仿宋" w:eastAsia="仿宋"/>
                <w:sz w:val="28"/>
                <w:szCs w:val="28"/>
                <w:highlight w:val="none"/>
              </w:rPr>
              <w:t>分</w:t>
            </w:r>
            <w:r>
              <w:rPr>
                <w:rFonts w:hint="eastAsia" w:ascii="仿宋" w:hAnsi="仿宋" w:eastAsia="仿宋"/>
                <w:sz w:val="28"/>
                <w:szCs w:val="28"/>
                <w:highlight w:val="none"/>
              </w:rPr>
              <w:t>（北京时间）前提交响应文件。 </w:t>
            </w:r>
          </w:p>
        </w:tc>
      </w:tr>
    </w:tbl>
    <w:p>
      <w:pPr>
        <w:rPr>
          <w:szCs w:val="21"/>
          <w:highlight w:val="none"/>
        </w:rPr>
      </w:pPr>
    </w:p>
    <w:p>
      <w:pPr>
        <w:rPr>
          <w:rFonts w:ascii="黑体" w:hAnsi="黑体" w:eastAsia="黑体" w:cs="宋体"/>
          <w:bCs/>
          <w:sz w:val="28"/>
          <w:szCs w:val="28"/>
          <w:highlight w:val="none"/>
        </w:rPr>
      </w:pPr>
      <w:bookmarkStart w:id="5" w:name="_Toc28359089"/>
      <w:bookmarkStart w:id="6" w:name="_Toc35393629"/>
      <w:bookmarkStart w:id="7" w:name="_Toc28359012"/>
      <w:bookmarkStart w:id="8" w:name="_Toc35393798"/>
      <w:r>
        <w:rPr>
          <w:rFonts w:hint="eastAsia" w:ascii="黑体" w:hAnsi="黑体" w:eastAsia="黑体" w:cs="宋体"/>
          <w:bCs/>
          <w:sz w:val="28"/>
          <w:szCs w:val="28"/>
          <w:highlight w:val="none"/>
        </w:rPr>
        <w:t>一、项目基本情况</w:t>
      </w:r>
      <w:bookmarkEnd w:id="5"/>
      <w:bookmarkEnd w:id="6"/>
      <w:bookmarkEnd w:id="7"/>
      <w:bookmarkEnd w:id="8"/>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项目编号：CG-AZ-2021-026</w:t>
      </w:r>
    </w:p>
    <w:p>
      <w:pPr>
        <w:ind w:firstLine="565" w:firstLineChars="202"/>
        <w:rPr>
          <w:rFonts w:ascii="仿宋" w:hAnsi="仿宋" w:eastAsia="仿宋"/>
          <w:sz w:val="28"/>
          <w:szCs w:val="28"/>
          <w:highlight w:val="none"/>
          <w:u w:val="single"/>
        </w:rPr>
      </w:pPr>
      <w:r>
        <w:rPr>
          <w:rFonts w:hint="eastAsia" w:ascii="仿宋" w:hAnsi="仿宋" w:eastAsia="仿宋"/>
          <w:sz w:val="28"/>
          <w:szCs w:val="28"/>
          <w:highlight w:val="none"/>
        </w:rPr>
        <w:t>项目名称：安庆职业技术学院网络安全等级保护测评项目</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采购方式：</w:t>
      </w:r>
      <w:r>
        <w:rPr>
          <w:rFonts w:hint="eastAsia" w:ascii="仿宋" w:hAnsi="仿宋" w:eastAsia="仿宋" w:cs="仿宋"/>
          <w:sz w:val="28"/>
          <w:szCs w:val="28"/>
          <w:highlight w:val="none"/>
        </w:rPr>
        <w:t>竞争性磋商</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资金来源：财政资金</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预算金额：</w:t>
      </w:r>
      <w:r>
        <w:rPr>
          <w:rFonts w:hint="eastAsia" w:ascii="仿宋" w:hAnsi="仿宋" w:eastAsia="仿宋"/>
          <w:sz w:val="28"/>
          <w:szCs w:val="28"/>
          <w:highlight w:val="none"/>
        </w:rPr>
        <w:t>25万元</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最高限价：</w:t>
      </w:r>
      <w:r>
        <w:rPr>
          <w:rFonts w:hint="eastAsia" w:ascii="仿宋" w:hAnsi="仿宋" w:eastAsia="仿宋"/>
          <w:sz w:val="28"/>
          <w:szCs w:val="28"/>
          <w:highlight w:val="none"/>
        </w:rPr>
        <w:t>25万元</w:t>
      </w:r>
    </w:p>
    <w:p>
      <w:pPr>
        <w:ind w:firstLine="560" w:firstLineChars="200"/>
        <w:rPr>
          <w:rFonts w:ascii="仿宋" w:hAnsi="仿宋" w:eastAsia="仿宋"/>
          <w:sz w:val="28"/>
          <w:szCs w:val="28"/>
          <w:highlight w:val="none"/>
          <w:u w:val="single"/>
        </w:rPr>
      </w:pPr>
      <w:r>
        <w:rPr>
          <w:rFonts w:hint="eastAsia" w:ascii="仿宋" w:hAnsi="仿宋" w:eastAsia="仿宋"/>
          <w:sz w:val="28"/>
          <w:szCs w:val="28"/>
          <w:highlight w:val="none"/>
        </w:rPr>
        <w:t>采购需求：安庆职业技术学院网络安全等级保护测评，详见磋商文件</w:t>
      </w:r>
    </w:p>
    <w:p>
      <w:pPr>
        <w:ind w:firstLine="560" w:firstLineChars="200"/>
        <w:rPr>
          <w:rFonts w:ascii="仿宋" w:hAnsi="仿宋" w:eastAsia="仿宋"/>
          <w:sz w:val="28"/>
          <w:szCs w:val="28"/>
          <w:highlight w:val="none"/>
        </w:rPr>
      </w:pPr>
      <w:r>
        <w:rPr>
          <w:rFonts w:hint="eastAsia" w:ascii="仿宋" w:hAnsi="仿宋" w:eastAsia="仿宋"/>
          <w:sz w:val="28"/>
          <w:szCs w:val="28"/>
          <w:highlight w:val="none"/>
        </w:rPr>
        <w:t>标段（包别）划分：一个包</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评标办法：综合评分法</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合同履行期限：</w:t>
      </w:r>
      <w:r>
        <w:rPr>
          <w:rFonts w:hint="eastAsia" w:ascii="仿宋" w:hAnsi="仿宋" w:eastAsia="仿宋"/>
          <w:b/>
          <w:bCs/>
          <w:sz w:val="28"/>
          <w:szCs w:val="28"/>
          <w:highlight w:val="none"/>
        </w:rPr>
        <w:t>合同签字生效后</w:t>
      </w:r>
      <w:r>
        <w:rPr>
          <w:rFonts w:ascii="仿宋" w:hAnsi="仿宋" w:eastAsia="仿宋"/>
          <w:b/>
          <w:bCs/>
          <w:sz w:val="28"/>
          <w:szCs w:val="28"/>
          <w:highlight w:val="none"/>
        </w:rPr>
        <w:t>3</w:t>
      </w:r>
      <w:r>
        <w:rPr>
          <w:rFonts w:hint="eastAsia" w:ascii="仿宋" w:hAnsi="仿宋" w:eastAsia="仿宋"/>
          <w:b/>
          <w:bCs/>
          <w:sz w:val="28"/>
          <w:szCs w:val="28"/>
          <w:highlight w:val="none"/>
        </w:rPr>
        <w:t>0日历天</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本项目不接受联合体。</w:t>
      </w:r>
    </w:p>
    <w:p>
      <w:pPr>
        <w:rPr>
          <w:rFonts w:ascii="黑体" w:hAnsi="黑体" w:eastAsia="黑体" w:cs="宋体"/>
          <w:bCs/>
          <w:sz w:val="28"/>
          <w:szCs w:val="28"/>
          <w:highlight w:val="none"/>
        </w:rPr>
      </w:pPr>
      <w:bookmarkStart w:id="9" w:name="_Toc35393630"/>
      <w:bookmarkStart w:id="10" w:name="_Toc35393799"/>
      <w:bookmarkStart w:id="11" w:name="_Toc28359013"/>
      <w:bookmarkStart w:id="12" w:name="_Toc28359090"/>
      <w:r>
        <w:rPr>
          <w:rFonts w:hint="eastAsia" w:ascii="黑体" w:hAnsi="黑体" w:eastAsia="黑体" w:cs="宋体"/>
          <w:bCs/>
          <w:sz w:val="28"/>
          <w:szCs w:val="28"/>
          <w:highlight w:val="none"/>
        </w:rPr>
        <w:t>二、申请人的资格要求：</w:t>
      </w:r>
      <w:bookmarkEnd w:id="9"/>
      <w:bookmarkEnd w:id="10"/>
      <w:bookmarkEnd w:id="11"/>
      <w:bookmarkEnd w:id="12"/>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1.满足《中华人民共和国政府采购法》第二十二条规定；</w:t>
      </w:r>
    </w:p>
    <w:p>
      <w:pPr>
        <w:ind w:firstLine="565" w:firstLineChars="202"/>
        <w:rPr>
          <w:rFonts w:ascii="仿宋" w:hAnsi="仿宋" w:eastAsia="仿宋"/>
          <w:sz w:val="28"/>
          <w:szCs w:val="28"/>
          <w:highlight w:val="none"/>
        </w:rPr>
      </w:pPr>
      <w:bookmarkStart w:id="13" w:name="_Toc28359091"/>
      <w:bookmarkStart w:id="14" w:name="_Toc28359014"/>
      <w:r>
        <w:rPr>
          <w:rFonts w:ascii="仿宋" w:hAnsi="仿宋" w:eastAsia="仿宋"/>
          <w:sz w:val="28"/>
          <w:szCs w:val="28"/>
          <w:highlight w:val="none"/>
        </w:rPr>
        <w:t>2</w:t>
      </w:r>
      <w:r>
        <w:rPr>
          <w:rFonts w:hint="eastAsia" w:ascii="仿宋" w:hAnsi="仿宋" w:eastAsia="仿宋"/>
          <w:sz w:val="28"/>
          <w:szCs w:val="28"/>
          <w:highlight w:val="none"/>
        </w:rPr>
        <w:t>.落实政府采购政策需满足的资格要求：/</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3.</w:t>
      </w:r>
      <w:r>
        <w:rPr>
          <w:rFonts w:hint="eastAsia" w:ascii="仿宋" w:hAnsi="仿宋" w:eastAsia="仿宋"/>
          <w:b/>
          <w:bCs/>
          <w:sz w:val="28"/>
          <w:szCs w:val="28"/>
          <w:highlight w:val="none"/>
        </w:rPr>
        <w:t>本项目的特定资格要求：供应商需具备省级及以上网络安全等级保护工作协调小组办公室颁发的网络安全等级保护测评机构推荐证书；</w:t>
      </w:r>
    </w:p>
    <w:p>
      <w:pPr>
        <w:ind w:firstLine="565" w:firstLineChars="202"/>
        <w:rPr>
          <w:rFonts w:ascii="仿宋" w:hAnsi="仿宋" w:eastAsia="仿宋"/>
          <w:i/>
          <w:iCs/>
          <w:sz w:val="28"/>
          <w:szCs w:val="28"/>
          <w:highlight w:val="none"/>
          <w:u w:val="single"/>
        </w:rPr>
      </w:pPr>
      <w:r>
        <w:rPr>
          <w:rFonts w:hint="eastAsia" w:ascii="仿宋" w:hAnsi="仿宋" w:eastAsia="仿宋"/>
          <w:sz w:val="28"/>
          <w:szCs w:val="28"/>
          <w:highlight w:val="none"/>
        </w:rPr>
        <w:t>4</w:t>
      </w:r>
      <w:r>
        <w:rPr>
          <w:rFonts w:ascii="仿宋" w:hAnsi="仿宋" w:eastAsia="仿宋"/>
          <w:sz w:val="28"/>
          <w:szCs w:val="28"/>
          <w:highlight w:val="none"/>
        </w:rPr>
        <w:t>.</w:t>
      </w:r>
      <w:r>
        <w:rPr>
          <w:rFonts w:hint="eastAsia" w:ascii="仿宋" w:hAnsi="仿宋" w:eastAsia="仿宋"/>
          <w:sz w:val="28"/>
          <w:szCs w:val="28"/>
          <w:highlight w:val="none"/>
        </w:rPr>
        <w:t>具有合法有效的营业执照。</w:t>
      </w:r>
    </w:p>
    <w:p>
      <w:pPr>
        <w:rPr>
          <w:rFonts w:ascii="黑体" w:hAnsi="黑体" w:eastAsia="黑体" w:cs="宋体"/>
          <w:bCs/>
          <w:sz w:val="28"/>
          <w:szCs w:val="28"/>
          <w:highlight w:val="none"/>
        </w:rPr>
      </w:pPr>
      <w:bookmarkStart w:id="15" w:name="_Toc35393631"/>
      <w:bookmarkStart w:id="16" w:name="_Toc35393800"/>
      <w:r>
        <w:rPr>
          <w:rFonts w:hint="eastAsia" w:ascii="黑体" w:hAnsi="黑体" w:eastAsia="黑体" w:cs="宋体"/>
          <w:bCs/>
          <w:sz w:val="28"/>
          <w:szCs w:val="28"/>
          <w:highlight w:val="none"/>
        </w:rPr>
        <w:t>三、获取采购文件</w:t>
      </w:r>
      <w:bookmarkEnd w:id="13"/>
      <w:bookmarkEnd w:id="14"/>
      <w:bookmarkEnd w:id="15"/>
      <w:bookmarkEnd w:id="16"/>
    </w:p>
    <w:p>
      <w:pPr>
        <w:ind w:firstLine="565" w:firstLineChars="202"/>
        <w:rPr>
          <w:rFonts w:ascii="仿宋" w:hAnsi="仿宋" w:eastAsia="仿宋" w:cs="宋体"/>
          <w:sz w:val="28"/>
          <w:szCs w:val="28"/>
          <w:highlight w:val="none"/>
        </w:rPr>
      </w:pPr>
      <w:r>
        <w:rPr>
          <w:rFonts w:hint="eastAsia" w:ascii="仿宋" w:hAnsi="仿宋" w:eastAsia="仿宋" w:cs="仿宋"/>
          <w:kern w:val="0"/>
          <w:sz w:val="28"/>
          <w:szCs w:val="28"/>
          <w:highlight w:val="none"/>
        </w:rPr>
        <w:t>潜在供应商于</w:t>
      </w:r>
      <w:r>
        <w:rPr>
          <w:rFonts w:hint="eastAsia" w:ascii="仿宋" w:hAnsi="仿宋" w:eastAsia="仿宋" w:cs="仿宋"/>
          <w:kern w:val="0"/>
          <w:sz w:val="28"/>
          <w:szCs w:val="28"/>
          <w:highlight w:val="none"/>
        </w:rPr>
        <w:t>2021年11月</w:t>
      </w:r>
      <w:r>
        <w:rPr>
          <w:rFonts w:hint="eastAsia" w:ascii="仿宋" w:hAnsi="仿宋" w:eastAsia="仿宋" w:cs="仿宋"/>
          <w:kern w:val="0"/>
          <w:sz w:val="28"/>
          <w:szCs w:val="28"/>
          <w:highlight w:val="none"/>
          <w:lang w:val="en-US" w:eastAsia="zh-CN"/>
        </w:rPr>
        <w:t>15</w:t>
      </w:r>
      <w:r>
        <w:rPr>
          <w:rFonts w:hint="eastAsia" w:ascii="仿宋" w:hAnsi="仿宋" w:eastAsia="仿宋" w:cs="仿宋"/>
          <w:kern w:val="0"/>
          <w:sz w:val="28"/>
          <w:szCs w:val="28"/>
          <w:highlight w:val="none"/>
        </w:rPr>
        <w:t>日17时30分前</w:t>
      </w:r>
      <w:r>
        <w:rPr>
          <w:rFonts w:hint="eastAsia" w:ascii="仿宋" w:hAnsi="仿宋" w:eastAsia="仿宋" w:cs="仿宋"/>
          <w:kern w:val="0"/>
          <w:sz w:val="28"/>
          <w:szCs w:val="28"/>
          <w:highlight w:val="none"/>
        </w:rPr>
        <w:t>，将盖公章的获取磋商文件的函（详见附件）发送至邮箱1165121299@qq.com。（超过时间的邮件无效，无法获取文件）</w:t>
      </w:r>
    </w:p>
    <w:p>
      <w:pPr>
        <w:ind w:firstLine="565" w:firstLineChars="202"/>
        <w:rPr>
          <w:rFonts w:ascii="仿宋" w:hAnsi="仿宋" w:eastAsia="仿宋" w:cs="宋体"/>
          <w:sz w:val="28"/>
          <w:szCs w:val="28"/>
          <w:highlight w:val="none"/>
        </w:rPr>
      </w:pPr>
      <w:r>
        <w:rPr>
          <w:rFonts w:hint="eastAsia" w:ascii="仿宋" w:hAnsi="仿宋" w:eastAsia="仿宋" w:cs="宋体"/>
          <w:sz w:val="28"/>
          <w:szCs w:val="28"/>
          <w:highlight w:val="none"/>
        </w:rPr>
        <w:t>售价：免费。</w:t>
      </w:r>
    </w:p>
    <w:p>
      <w:pPr>
        <w:rPr>
          <w:rFonts w:ascii="黑体" w:hAnsi="黑体" w:eastAsia="黑体" w:cs="宋体"/>
          <w:bCs/>
          <w:sz w:val="28"/>
          <w:szCs w:val="28"/>
          <w:highlight w:val="none"/>
        </w:rPr>
      </w:pPr>
      <w:bookmarkStart w:id="17" w:name="_Toc28359015"/>
      <w:bookmarkStart w:id="18" w:name="_Toc28359092"/>
      <w:bookmarkStart w:id="19" w:name="_Toc35393632"/>
      <w:bookmarkStart w:id="20" w:name="_Toc35393801"/>
      <w:r>
        <w:rPr>
          <w:rFonts w:hint="eastAsia" w:ascii="黑体" w:hAnsi="黑体" w:eastAsia="黑体" w:cs="宋体"/>
          <w:bCs/>
          <w:sz w:val="28"/>
          <w:szCs w:val="28"/>
          <w:highlight w:val="none"/>
        </w:rPr>
        <w:t>四、响应文件提交</w:t>
      </w:r>
      <w:bookmarkEnd w:id="17"/>
      <w:bookmarkEnd w:id="18"/>
      <w:bookmarkEnd w:id="19"/>
      <w:bookmarkEnd w:id="20"/>
    </w:p>
    <w:p>
      <w:pPr>
        <w:ind w:firstLine="565" w:firstLineChars="202"/>
        <w:rPr>
          <w:rFonts w:ascii="仿宋" w:hAnsi="仿宋" w:eastAsia="仿宋"/>
          <w:bCs/>
          <w:sz w:val="28"/>
          <w:szCs w:val="28"/>
          <w:highlight w:val="none"/>
          <w:u w:val="single"/>
        </w:rPr>
      </w:pPr>
      <w:r>
        <w:rPr>
          <w:rFonts w:hint="eastAsia" w:ascii="仿宋" w:hAnsi="仿宋" w:eastAsia="仿宋"/>
          <w:sz w:val="28"/>
          <w:szCs w:val="28"/>
          <w:highlight w:val="none"/>
        </w:rPr>
        <w:t>截止时间：</w:t>
      </w:r>
      <w:r>
        <w:rPr>
          <w:rFonts w:hint="eastAsia" w:ascii="仿宋" w:hAnsi="仿宋" w:eastAsia="仿宋"/>
          <w:sz w:val="28"/>
          <w:szCs w:val="28"/>
          <w:highlight w:val="none"/>
        </w:rPr>
        <w:t>2021年11月</w:t>
      </w:r>
      <w:r>
        <w:rPr>
          <w:rFonts w:hint="eastAsia" w:ascii="仿宋" w:hAnsi="仿宋" w:eastAsia="仿宋"/>
          <w:sz w:val="28"/>
          <w:szCs w:val="28"/>
          <w:highlight w:val="none"/>
          <w:lang w:val="en-US" w:eastAsia="zh-CN"/>
        </w:rPr>
        <w:t>24</w:t>
      </w:r>
      <w:r>
        <w:rPr>
          <w:rFonts w:hint="eastAsia" w:ascii="仿宋" w:hAnsi="仿宋" w:eastAsia="仿宋"/>
          <w:sz w:val="28"/>
          <w:szCs w:val="28"/>
          <w:highlight w:val="none"/>
        </w:rPr>
        <w:t>日</w:t>
      </w:r>
      <w:r>
        <w:rPr>
          <w:rFonts w:hint="eastAsia" w:ascii="仿宋" w:hAnsi="仿宋" w:eastAsia="仿宋"/>
          <w:sz w:val="28"/>
          <w:szCs w:val="28"/>
          <w:highlight w:val="none"/>
          <w:lang w:val="en-US" w:eastAsia="zh-CN"/>
        </w:rPr>
        <w:t>15</w:t>
      </w:r>
      <w:r>
        <w:rPr>
          <w:rFonts w:hint="eastAsia" w:ascii="仿宋" w:hAnsi="仿宋" w:eastAsia="仿宋"/>
          <w:sz w:val="28"/>
          <w:szCs w:val="28"/>
          <w:highlight w:val="none"/>
        </w:rPr>
        <w:t>点</w:t>
      </w:r>
      <w:r>
        <w:rPr>
          <w:rFonts w:hint="eastAsia" w:ascii="仿宋" w:hAnsi="仿宋" w:eastAsia="仿宋"/>
          <w:sz w:val="28"/>
          <w:szCs w:val="28"/>
          <w:highlight w:val="none"/>
          <w:lang w:val="en-US" w:eastAsia="zh-CN"/>
        </w:rPr>
        <w:t>30</w:t>
      </w:r>
      <w:r>
        <w:rPr>
          <w:rFonts w:hint="eastAsia" w:ascii="仿宋" w:hAnsi="仿宋" w:eastAsia="仿宋"/>
          <w:sz w:val="28"/>
          <w:szCs w:val="28"/>
          <w:highlight w:val="none"/>
        </w:rPr>
        <w:t>分</w:t>
      </w:r>
      <w:r>
        <w:rPr>
          <w:rFonts w:hint="eastAsia" w:ascii="仿宋" w:hAnsi="仿宋" w:eastAsia="仿宋"/>
          <w:bCs/>
          <w:sz w:val="28"/>
          <w:szCs w:val="28"/>
          <w:highlight w:val="none"/>
        </w:rPr>
        <w:t>（北京时间）</w:t>
      </w:r>
    </w:p>
    <w:p>
      <w:pPr>
        <w:widowControl/>
        <w:shd w:val="clear" w:color="auto" w:fill="FFFFFF"/>
        <w:spacing w:line="560" w:lineRule="exact"/>
        <w:ind w:firstLine="560" w:firstLineChars="200"/>
        <w:rPr>
          <w:rFonts w:ascii="仿宋" w:hAnsi="仿宋" w:eastAsia="仿宋"/>
          <w:bCs/>
          <w:sz w:val="28"/>
          <w:szCs w:val="28"/>
          <w:highlight w:val="none"/>
          <w:u w:val="single"/>
        </w:rPr>
      </w:pPr>
      <w:r>
        <w:rPr>
          <w:rFonts w:hint="eastAsia" w:ascii="仿宋" w:hAnsi="仿宋" w:eastAsia="仿宋"/>
          <w:sz w:val="28"/>
          <w:szCs w:val="28"/>
          <w:highlight w:val="none"/>
        </w:rPr>
        <w:t>地点：</w:t>
      </w:r>
      <w:r>
        <w:rPr>
          <w:rFonts w:hint="eastAsia" w:ascii="仿宋" w:hAnsi="仿宋" w:eastAsia="仿宋" w:cs="仿宋"/>
          <w:kern w:val="0"/>
          <w:sz w:val="28"/>
          <w:szCs w:val="28"/>
          <w:highlight w:val="none"/>
        </w:rPr>
        <w:t>安庆市公共资源交易中心(具体开标地点见当天一楼大厅电子显示屏)</w:t>
      </w:r>
    </w:p>
    <w:p>
      <w:pPr>
        <w:rPr>
          <w:rFonts w:ascii="黑体" w:hAnsi="黑体" w:eastAsia="黑体" w:cs="宋体"/>
          <w:bCs/>
          <w:sz w:val="28"/>
          <w:szCs w:val="28"/>
          <w:highlight w:val="none"/>
        </w:rPr>
      </w:pPr>
      <w:bookmarkStart w:id="21" w:name="_Toc28359016"/>
      <w:bookmarkStart w:id="22" w:name="_Toc35393633"/>
      <w:bookmarkStart w:id="23" w:name="_Toc35393802"/>
      <w:bookmarkStart w:id="24" w:name="_Toc28359093"/>
      <w:r>
        <w:rPr>
          <w:rFonts w:hint="eastAsia" w:ascii="黑体" w:hAnsi="黑体" w:eastAsia="黑体" w:cs="宋体"/>
          <w:bCs/>
          <w:sz w:val="28"/>
          <w:szCs w:val="28"/>
          <w:highlight w:val="none"/>
        </w:rPr>
        <w:t>五、开启</w:t>
      </w:r>
      <w:bookmarkEnd w:id="21"/>
      <w:bookmarkEnd w:id="22"/>
      <w:bookmarkEnd w:id="23"/>
      <w:bookmarkEnd w:id="24"/>
    </w:p>
    <w:p>
      <w:pPr>
        <w:ind w:firstLine="565" w:firstLineChars="202"/>
        <w:rPr>
          <w:rFonts w:ascii="仿宋" w:hAnsi="仿宋" w:eastAsia="仿宋"/>
          <w:bCs/>
          <w:sz w:val="28"/>
          <w:szCs w:val="28"/>
          <w:highlight w:val="none"/>
          <w:u w:val="single"/>
        </w:rPr>
      </w:pPr>
      <w:r>
        <w:rPr>
          <w:rFonts w:hint="eastAsia" w:ascii="仿宋" w:hAnsi="仿宋" w:eastAsia="仿宋"/>
          <w:sz w:val="28"/>
          <w:szCs w:val="28"/>
          <w:highlight w:val="none"/>
        </w:rPr>
        <w:t>时间：</w:t>
      </w:r>
      <w:r>
        <w:rPr>
          <w:rFonts w:hint="eastAsia" w:ascii="仿宋" w:hAnsi="仿宋" w:eastAsia="仿宋"/>
          <w:sz w:val="28"/>
          <w:szCs w:val="28"/>
          <w:highlight w:val="none"/>
        </w:rPr>
        <w:t>2021年11月</w:t>
      </w:r>
      <w:r>
        <w:rPr>
          <w:rFonts w:hint="eastAsia" w:ascii="仿宋" w:hAnsi="仿宋" w:eastAsia="仿宋"/>
          <w:sz w:val="28"/>
          <w:szCs w:val="28"/>
          <w:highlight w:val="none"/>
          <w:lang w:val="en-US" w:eastAsia="zh-CN"/>
        </w:rPr>
        <w:t>24</w:t>
      </w:r>
      <w:r>
        <w:rPr>
          <w:rFonts w:hint="eastAsia" w:ascii="仿宋" w:hAnsi="仿宋" w:eastAsia="仿宋"/>
          <w:sz w:val="28"/>
          <w:szCs w:val="28"/>
          <w:highlight w:val="none"/>
        </w:rPr>
        <w:t>日</w:t>
      </w:r>
      <w:r>
        <w:rPr>
          <w:rFonts w:hint="eastAsia" w:ascii="仿宋" w:hAnsi="仿宋" w:eastAsia="仿宋"/>
          <w:sz w:val="28"/>
          <w:szCs w:val="28"/>
          <w:highlight w:val="none"/>
          <w:lang w:val="en-US" w:eastAsia="zh-CN"/>
        </w:rPr>
        <w:t>15</w:t>
      </w:r>
      <w:r>
        <w:rPr>
          <w:rFonts w:hint="eastAsia" w:ascii="仿宋" w:hAnsi="仿宋" w:eastAsia="仿宋"/>
          <w:sz w:val="28"/>
          <w:szCs w:val="28"/>
          <w:highlight w:val="none"/>
        </w:rPr>
        <w:t>点</w:t>
      </w:r>
      <w:r>
        <w:rPr>
          <w:rFonts w:hint="eastAsia" w:ascii="仿宋" w:hAnsi="仿宋" w:eastAsia="仿宋"/>
          <w:sz w:val="28"/>
          <w:szCs w:val="28"/>
          <w:highlight w:val="none"/>
          <w:lang w:val="en-US" w:eastAsia="zh-CN"/>
        </w:rPr>
        <w:t>30</w:t>
      </w:r>
      <w:r>
        <w:rPr>
          <w:rFonts w:hint="eastAsia" w:ascii="仿宋" w:hAnsi="仿宋" w:eastAsia="仿宋"/>
          <w:sz w:val="28"/>
          <w:szCs w:val="28"/>
          <w:highlight w:val="none"/>
        </w:rPr>
        <w:t>分</w:t>
      </w:r>
      <w:r>
        <w:rPr>
          <w:rFonts w:hint="eastAsia" w:ascii="仿宋" w:hAnsi="仿宋" w:eastAsia="仿宋"/>
          <w:bCs/>
          <w:sz w:val="28"/>
          <w:szCs w:val="28"/>
          <w:highlight w:val="none"/>
        </w:rPr>
        <w:t>（北京时间）</w:t>
      </w:r>
    </w:p>
    <w:p>
      <w:pPr>
        <w:ind w:firstLine="565" w:firstLineChars="202"/>
        <w:rPr>
          <w:rFonts w:ascii="仿宋" w:hAnsi="仿宋" w:eastAsia="仿宋"/>
          <w:bCs/>
          <w:sz w:val="28"/>
          <w:szCs w:val="28"/>
          <w:highlight w:val="none"/>
          <w:u w:val="single"/>
        </w:rPr>
      </w:pPr>
      <w:r>
        <w:rPr>
          <w:rFonts w:hint="eastAsia" w:ascii="仿宋" w:hAnsi="仿宋" w:eastAsia="仿宋"/>
          <w:sz w:val="28"/>
          <w:szCs w:val="28"/>
          <w:highlight w:val="none"/>
        </w:rPr>
        <w:t>地点：</w:t>
      </w:r>
      <w:r>
        <w:rPr>
          <w:rFonts w:hint="eastAsia" w:ascii="仿宋" w:hAnsi="仿宋" w:eastAsia="仿宋" w:cs="仿宋"/>
          <w:kern w:val="0"/>
          <w:sz w:val="28"/>
          <w:szCs w:val="28"/>
          <w:highlight w:val="none"/>
        </w:rPr>
        <w:t>安庆市公共资源交易中心</w:t>
      </w:r>
    </w:p>
    <w:p>
      <w:pPr>
        <w:rPr>
          <w:rFonts w:ascii="黑体" w:hAnsi="黑体" w:eastAsia="黑体" w:cs="宋体"/>
          <w:bCs/>
          <w:sz w:val="28"/>
          <w:szCs w:val="28"/>
          <w:highlight w:val="none"/>
        </w:rPr>
      </w:pPr>
      <w:bookmarkStart w:id="25" w:name="_Toc28359094"/>
      <w:bookmarkStart w:id="26" w:name="_Toc35393634"/>
      <w:bookmarkStart w:id="27" w:name="_Toc35393803"/>
      <w:bookmarkStart w:id="28" w:name="_Toc28359017"/>
      <w:r>
        <w:rPr>
          <w:rFonts w:hint="eastAsia" w:ascii="黑体" w:hAnsi="黑体" w:eastAsia="黑体" w:cs="宋体"/>
          <w:bCs/>
          <w:sz w:val="28"/>
          <w:szCs w:val="28"/>
          <w:highlight w:val="none"/>
        </w:rPr>
        <w:t>六、公告期限</w:t>
      </w:r>
      <w:bookmarkEnd w:id="25"/>
      <w:bookmarkEnd w:id="26"/>
      <w:bookmarkEnd w:id="27"/>
      <w:bookmarkEnd w:id="28"/>
    </w:p>
    <w:p>
      <w:pPr>
        <w:ind w:firstLine="565" w:firstLineChars="202"/>
        <w:rPr>
          <w:rFonts w:ascii="仿宋" w:hAnsi="仿宋" w:eastAsia="仿宋" w:cs="宋体"/>
          <w:kern w:val="0"/>
          <w:sz w:val="28"/>
          <w:szCs w:val="28"/>
          <w:highlight w:val="none"/>
        </w:rPr>
      </w:pPr>
      <w:r>
        <w:rPr>
          <w:rFonts w:hint="eastAsia" w:ascii="仿宋" w:hAnsi="仿宋" w:eastAsia="仿宋" w:cs="宋体"/>
          <w:kern w:val="0"/>
          <w:sz w:val="28"/>
          <w:szCs w:val="28"/>
          <w:highlight w:val="none"/>
        </w:rPr>
        <w:t>自本公告发布之日起</w:t>
      </w:r>
      <w:r>
        <w:rPr>
          <w:rFonts w:ascii="仿宋" w:hAnsi="仿宋" w:eastAsia="仿宋" w:cs="宋体"/>
          <w:kern w:val="0"/>
          <w:sz w:val="28"/>
          <w:szCs w:val="28"/>
          <w:highlight w:val="none"/>
        </w:rPr>
        <w:t>5</w:t>
      </w:r>
      <w:r>
        <w:rPr>
          <w:rFonts w:hint="eastAsia" w:ascii="仿宋" w:hAnsi="仿宋" w:eastAsia="仿宋" w:cs="宋体"/>
          <w:kern w:val="0"/>
          <w:sz w:val="28"/>
          <w:szCs w:val="28"/>
          <w:highlight w:val="none"/>
        </w:rPr>
        <w:t>个工作日</w:t>
      </w:r>
      <w:r>
        <w:rPr>
          <w:rFonts w:hint="eastAsia" w:ascii="仿宋" w:hAnsi="仿宋" w:eastAsia="仿宋" w:cs="宋体"/>
          <w:kern w:val="0"/>
          <w:sz w:val="28"/>
          <w:szCs w:val="28"/>
          <w:highlight w:val="none"/>
        </w:rPr>
        <w:t>。</w:t>
      </w:r>
    </w:p>
    <w:p>
      <w:pPr>
        <w:rPr>
          <w:rFonts w:ascii="黑体" w:hAnsi="黑体" w:eastAsia="黑体" w:cs="宋体"/>
          <w:bCs/>
          <w:sz w:val="28"/>
          <w:szCs w:val="28"/>
          <w:highlight w:val="none"/>
        </w:rPr>
      </w:pPr>
      <w:bookmarkStart w:id="29" w:name="_Toc35393804"/>
      <w:bookmarkStart w:id="30" w:name="_Toc35393635"/>
      <w:r>
        <w:rPr>
          <w:rFonts w:hint="eastAsia" w:ascii="黑体" w:hAnsi="黑体" w:eastAsia="黑体" w:cs="宋体"/>
          <w:bCs/>
          <w:sz w:val="28"/>
          <w:szCs w:val="28"/>
          <w:highlight w:val="none"/>
        </w:rPr>
        <w:t>七、其他补充事宜</w:t>
      </w:r>
      <w:bookmarkEnd w:id="29"/>
      <w:bookmarkEnd w:id="30"/>
    </w:p>
    <w:p>
      <w:pPr>
        <w:ind w:firstLine="565" w:firstLineChars="202"/>
        <w:rPr>
          <w:rFonts w:ascii="仿宋" w:hAnsi="仿宋" w:eastAsia="仿宋"/>
          <w:sz w:val="28"/>
          <w:szCs w:val="28"/>
          <w:highlight w:val="none"/>
        </w:rPr>
      </w:pPr>
      <w:r>
        <w:rPr>
          <w:rFonts w:ascii="仿宋" w:hAnsi="仿宋" w:eastAsia="仿宋"/>
          <w:sz w:val="28"/>
          <w:szCs w:val="28"/>
          <w:highlight w:val="none"/>
        </w:rPr>
        <w:t>1.</w:t>
      </w:r>
      <w:r>
        <w:rPr>
          <w:rFonts w:hint="eastAsia" w:ascii="仿宋" w:hAnsi="仿宋" w:eastAsia="仿宋"/>
          <w:sz w:val="28"/>
          <w:szCs w:val="28"/>
          <w:highlight w:val="none"/>
        </w:rPr>
        <w:t>供应商的联系人电话(手机)、电子邮箱等通讯方式在磋商过程中必须保持畅通，否则因上述原因造成的后果，责任自负。</w:t>
      </w:r>
    </w:p>
    <w:p>
      <w:pPr>
        <w:ind w:firstLine="565" w:firstLineChars="202"/>
        <w:rPr>
          <w:rFonts w:ascii="仿宋" w:hAnsi="仿宋" w:eastAsia="仿宋" w:cs="仿宋"/>
          <w:kern w:val="0"/>
          <w:sz w:val="28"/>
          <w:szCs w:val="28"/>
          <w:highlight w:val="none"/>
        </w:rPr>
      </w:pPr>
      <w:r>
        <w:rPr>
          <w:rFonts w:ascii="仿宋" w:hAnsi="仿宋" w:eastAsia="仿宋"/>
          <w:sz w:val="28"/>
          <w:szCs w:val="28"/>
          <w:highlight w:val="none"/>
        </w:rPr>
        <w:t>2.</w:t>
      </w:r>
      <w:r>
        <w:rPr>
          <w:rFonts w:hint="eastAsia" w:ascii="仿宋" w:hAnsi="仿宋" w:eastAsia="仿宋" w:cs="仿宋"/>
          <w:kern w:val="0"/>
          <w:sz w:val="28"/>
          <w:szCs w:val="28"/>
          <w:highlight w:val="none"/>
        </w:rPr>
        <w:t>本竞争性磋商文件的澄清、修改、补充说明等内容均通过安庆职业技术学院（https://www.aqvtc.edu.cn/）发布，请务必随时关注，以免影响响应文件编制，因供应商未及时关注相关信息对投标造成的不利后果由其自行承担。</w:t>
      </w:r>
    </w:p>
    <w:p>
      <w:pPr>
        <w:ind w:firstLine="565" w:firstLineChars="202"/>
        <w:rPr>
          <w:rFonts w:ascii="仿宋" w:hAnsi="仿宋" w:eastAsia="仿宋"/>
          <w:sz w:val="28"/>
          <w:szCs w:val="28"/>
          <w:highlight w:val="none"/>
        </w:rPr>
      </w:pPr>
      <w:r>
        <w:rPr>
          <w:rFonts w:hint="eastAsia" w:ascii="仿宋" w:hAnsi="仿宋" w:eastAsia="仿宋" w:cs="仿宋"/>
          <w:kern w:val="0"/>
          <w:sz w:val="28"/>
          <w:szCs w:val="28"/>
          <w:highlight w:val="none"/>
        </w:rPr>
        <w:t>3.获取磋商文件，而放弃参加投标的供应商，请在响应文件提交截止日前以单位名义向1165121299@qq.com邮箱发送弃标函（格式自拟）。</w:t>
      </w:r>
    </w:p>
    <w:p>
      <w:pPr>
        <w:rPr>
          <w:rFonts w:ascii="黑体" w:hAnsi="黑体" w:eastAsia="黑体" w:cs="宋体"/>
          <w:bCs/>
          <w:sz w:val="28"/>
          <w:szCs w:val="28"/>
          <w:highlight w:val="none"/>
        </w:rPr>
      </w:pPr>
      <w:bookmarkStart w:id="31" w:name="_Toc28359018"/>
      <w:bookmarkStart w:id="32" w:name="_Toc35393636"/>
      <w:bookmarkStart w:id="33" w:name="_Toc28359095"/>
      <w:bookmarkStart w:id="34" w:name="_Toc35393805"/>
      <w:r>
        <w:rPr>
          <w:rFonts w:hint="eastAsia" w:ascii="黑体" w:hAnsi="黑体" w:eastAsia="黑体" w:cs="宋体"/>
          <w:bCs/>
          <w:sz w:val="28"/>
          <w:szCs w:val="28"/>
          <w:highlight w:val="none"/>
        </w:rPr>
        <w:t>八、凡对本次采购提出询问，请按</w:t>
      </w:r>
      <w:r>
        <w:rPr>
          <w:rFonts w:ascii="黑体" w:hAnsi="黑体" w:eastAsia="黑体" w:cs="宋体"/>
          <w:bCs/>
          <w:sz w:val="28"/>
          <w:szCs w:val="28"/>
          <w:highlight w:val="none"/>
        </w:rPr>
        <w:t>以下方式</w:t>
      </w:r>
      <w:r>
        <w:rPr>
          <w:rFonts w:hint="eastAsia" w:ascii="黑体" w:hAnsi="黑体" w:eastAsia="黑体" w:cs="宋体"/>
          <w:bCs/>
          <w:sz w:val="28"/>
          <w:szCs w:val="28"/>
          <w:highlight w:val="none"/>
        </w:rPr>
        <w:t>联系。</w:t>
      </w:r>
      <w:bookmarkEnd w:id="31"/>
      <w:bookmarkEnd w:id="32"/>
      <w:bookmarkEnd w:id="33"/>
      <w:bookmarkEnd w:id="34"/>
    </w:p>
    <w:p>
      <w:pPr>
        <w:ind w:firstLine="565" w:firstLineChars="202"/>
        <w:rPr>
          <w:rFonts w:ascii="仿宋" w:hAnsi="仿宋" w:eastAsia="仿宋" w:cs="宋体"/>
          <w:bCs/>
          <w:sz w:val="28"/>
          <w:szCs w:val="28"/>
          <w:highlight w:val="none"/>
        </w:rPr>
      </w:pPr>
      <w:bookmarkStart w:id="35" w:name="_Toc35393806"/>
      <w:bookmarkStart w:id="36" w:name="_Toc35393637"/>
      <w:bookmarkStart w:id="37" w:name="_Toc28359019"/>
      <w:bookmarkStart w:id="38" w:name="_Toc28359096"/>
      <w:r>
        <w:rPr>
          <w:rFonts w:hint="eastAsia" w:ascii="仿宋" w:hAnsi="仿宋" w:eastAsia="仿宋" w:cs="宋体"/>
          <w:bCs/>
          <w:sz w:val="28"/>
          <w:szCs w:val="28"/>
          <w:highlight w:val="none"/>
        </w:rPr>
        <w:t>1.采购人信息</w:t>
      </w:r>
      <w:bookmarkEnd w:id="35"/>
      <w:bookmarkEnd w:id="36"/>
      <w:bookmarkEnd w:id="37"/>
      <w:bookmarkEnd w:id="38"/>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名    称：</w:t>
      </w:r>
      <w:r>
        <w:rPr>
          <w:rFonts w:hint="eastAsia" w:ascii="仿宋" w:hAnsi="仿宋" w:eastAsia="仿宋" w:cs="仿宋"/>
          <w:kern w:val="0"/>
          <w:sz w:val="28"/>
          <w:szCs w:val="28"/>
          <w:highlight w:val="none"/>
        </w:rPr>
        <w:t>安庆职业技术学院</w:t>
      </w:r>
    </w:p>
    <w:p>
      <w:pPr>
        <w:ind w:firstLine="565" w:firstLineChars="202"/>
        <w:rPr>
          <w:rFonts w:ascii="仿宋" w:hAnsi="仿宋" w:eastAsia="仿宋"/>
          <w:sz w:val="28"/>
          <w:szCs w:val="28"/>
          <w:highlight w:val="none"/>
          <w:u w:val="single"/>
        </w:rPr>
      </w:pPr>
      <w:r>
        <w:rPr>
          <w:rFonts w:hint="eastAsia" w:ascii="仿宋" w:hAnsi="仿宋" w:eastAsia="仿宋"/>
          <w:sz w:val="28"/>
          <w:szCs w:val="28"/>
          <w:highlight w:val="none"/>
        </w:rPr>
        <w:t>地    址：</w:t>
      </w:r>
      <w:r>
        <w:rPr>
          <w:rFonts w:hint="eastAsia" w:ascii="仿宋" w:hAnsi="仿宋" w:eastAsia="仿宋" w:cs="仿宋"/>
          <w:kern w:val="0"/>
          <w:sz w:val="28"/>
          <w:szCs w:val="28"/>
          <w:highlight w:val="none"/>
        </w:rPr>
        <w:t>安庆市天柱山东路99号</w:t>
      </w:r>
    </w:p>
    <w:p>
      <w:pPr>
        <w:ind w:firstLine="565" w:firstLineChars="202"/>
        <w:rPr>
          <w:rFonts w:ascii="仿宋" w:hAnsi="仿宋" w:eastAsia="仿宋"/>
          <w:sz w:val="28"/>
          <w:szCs w:val="28"/>
          <w:highlight w:val="none"/>
        </w:rPr>
      </w:pPr>
      <w:r>
        <w:rPr>
          <w:rFonts w:hint="eastAsia" w:ascii="仿宋" w:hAnsi="仿宋" w:eastAsia="仿宋" w:cstheme="minorBidi"/>
          <w:sz w:val="28"/>
          <w:szCs w:val="28"/>
          <w:highlight w:val="none"/>
        </w:rPr>
        <w:t>联 系 人：</w:t>
      </w:r>
      <w:r>
        <w:rPr>
          <w:rFonts w:hint="eastAsia" w:ascii="仿宋" w:hAnsi="仿宋" w:eastAsia="仿宋" w:cs="仿宋"/>
          <w:kern w:val="0"/>
          <w:sz w:val="28"/>
          <w:szCs w:val="28"/>
          <w:highlight w:val="none"/>
        </w:rPr>
        <w:t>余老师</w:t>
      </w:r>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联系方式：</w:t>
      </w:r>
      <w:r>
        <w:rPr>
          <w:rFonts w:hint="eastAsia" w:ascii="仿宋" w:hAnsi="仿宋" w:eastAsia="仿宋" w:cs="仿宋"/>
          <w:kern w:val="0"/>
          <w:sz w:val="28"/>
          <w:szCs w:val="28"/>
          <w:highlight w:val="none"/>
        </w:rPr>
        <w:t>0556-5283045</w:t>
      </w:r>
    </w:p>
    <w:p>
      <w:pPr>
        <w:ind w:firstLine="565" w:firstLineChars="202"/>
        <w:rPr>
          <w:rFonts w:ascii="仿宋" w:hAnsi="仿宋" w:eastAsia="仿宋" w:cs="宋体"/>
          <w:bCs/>
          <w:sz w:val="28"/>
          <w:szCs w:val="28"/>
          <w:highlight w:val="none"/>
        </w:rPr>
      </w:pPr>
      <w:bookmarkStart w:id="39" w:name="_Toc35393807"/>
      <w:bookmarkStart w:id="40" w:name="_Toc28359097"/>
      <w:bookmarkStart w:id="41" w:name="_Toc35393638"/>
      <w:bookmarkStart w:id="42" w:name="_Toc28359020"/>
      <w:r>
        <w:rPr>
          <w:rFonts w:hint="eastAsia" w:ascii="仿宋" w:hAnsi="仿宋" w:eastAsia="仿宋" w:cs="宋体"/>
          <w:bCs/>
          <w:sz w:val="28"/>
          <w:szCs w:val="28"/>
          <w:highlight w:val="none"/>
        </w:rPr>
        <w:t>2.采购代理机构信息</w:t>
      </w:r>
      <w:bookmarkEnd w:id="39"/>
      <w:bookmarkEnd w:id="40"/>
      <w:bookmarkEnd w:id="41"/>
      <w:bookmarkEnd w:id="42"/>
    </w:p>
    <w:p>
      <w:pPr>
        <w:ind w:firstLine="565" w:firstLineChars="202"/>
        <w:rPr>
          <w:rFonts w:ascii="仿宋" w:hAnsi="仿宋" w:eastAsia="仿宋"/>
          <w:sz w:val="28"/>
          <w:szCs w:val="28"/>
          <w:highlight w:val="none"/>
        </w:rPr>
      </w:pPr>
      <w:r>
        <w:rPr>
          <w:rFonts w:hint="eastAsia" w:ascii="仿宋" w:hAnsi="仿宋" w:eastAsia="仿宋"/>
          <w:sz w:val="28"/>
          <w:szCs w:val="28"/>
          <w:highlight w:val="none"/>
        </w:rPr>
        <w:t>名    称：</w:t>
      </w:r>
      <w:r>
        <w:rPr>
          <w:rFonts w:hint="eastAsia" w:ascii="仿宋" w:hAnsi="仿宋" w:eastAsia="仿宋" w:cs="仿宋"/>
          <w:kern w:val="0"/>
          <w:sz w:val="28"/>
          <w:szCs w:val="28"/>
          <w:highlight w:val="none"/>
        </w:rPr>
        <w:t>安庆市皖宜项目咨询管理有限公司</w:t>
      </w:r>
    </w:p>
    <w:p>
      <w:pPr>
        <w:ind w:firstLine="565" w:firstLineChars="202"/>
        <w:rPr>
          <w:rFonts w:ascii="仿宋" w:hAnsi="仿宋" w:eastAsia="仿宋"/>
          <w:sz w:val="28"/>
          <w:szCs w:val="28"/>
          <w:highlight w:val="none"/>
          <w:u w:val="single"/>
        </w:rPr>
      </w:pPr>
      <w:r>
        <w:rPr>
          <w:rFonts w:hint="eastAsia" w:ascii="仿宋" w:hAnsi="仿宋" w:eastAsia="仿宋"/>
          <w:sz w:val="28"/>
          <w:szCs w:val="28"/>
          <w:highlight w:val="none"/>
        </w:rPr>
        <w:t>地　　址：</w:t>
      </w:r>
      <w:r>
        <w:rPr>
          <w:rFonts w:hint="eastAsia" w:ascii="仿宋" w:hAnsi="仿宋" w:eastAsia="仿宋" w:cs="仿宋"/>
          <w:kern w:val="0"/>
          <w:sz w:val="28"/>
          <w:szCs w:val="28"/>
          <w:highlight w:val="none"/>
        </w:rPr>
        <w:t>安庆市龙山路215号五楼政府采购部</w:t>
      </w:r>
    </w:p>
    <w:p>
      <w:pPr>
        <w:ind w:firstLine="565" w:firstLineChars="202"/>
        <w:rPr>
          <w:rFonts w:ascii="仿宋" w:hAnsi="仿宋" w:eastAsia="仿宋" w:cstheme="minorBidi"/>
          <w:sz w:val="28"/>
          <w:szCs w:val="28"/>
          <w:highlight w:val="none"/>
        </w:rPr>
      </w:pPr>
      <w:r>
        <w:rPr>
          <w:rFonts w:hint="eastAsia" w:ascii="仿宋" w:hAnsi="仿宋" w:eastAsia="仿宋" w:cstheme="minorBidi"/>
          <w:sz w:val="28"/>
          <w:szCs w:val="28"/>
          <w:highlight w:val="none"/>
        </w:rPr>
        <w:t>联 系 人：马婷</w:t>
      </w:r>
    </w:p>
    <w:p>
      <w:pPr>
        <w:ind w:firstLine="565" w:firstLineChars="202"/>
        <w:rPr>
          <w:rFonts w:ascii="仿宋" w:hAnsi="仿宋" w:eastAsia="仿宋"/>
          <w:sz w:val="28"/>
          <w:szCs w:val="28"/>
          <w:highlight w:val="none"/>
        </w:rPr>
      </w:pPr>
      <w:r>
        <w:rPr>
          <w:rFonts w:hint="eastAsia" w:ascii="仿宋" w:hAnsi="仿宋" w:eastAsia="仿宋" w:cstheme="minorBidi"/>
          <w:sz w:val="28"/>
          <w:szCs w:val="28"/>
          <w:highlight w:val="none"/>
        </w:rPr>
        <w:t>联系方式：0556-5991153</w:t>
      </w:r>
    </w:p>
    <w:p>
      <w:pPr>
        <w:ind w:firstLine="565" w:firstLineChars="202"/>
        <w:rPr>
          <w:rFonts w:ascii="仿宋" w:hAnsi="仿宋" w:eastAsia="仿宋" w:cs="宋体"/>
          <w:bCs/>
          <w:sz w:val="28"/>
          <w:szCs w:val="28"/>
          <w:highlight w:val="none"/>
        </w:rPr>
      </w:pPr>
      <w:bookmarkStart w:id="43" w:name="_Toc35393808"/>
      <w:bookmarkStart w:id="44" w:name="_Toc28359098"/>
      <w:bookmarkStart w:id="45" w:name="_Toc28359021"/>
      <w:bookmarkStart w:id="46" w:name="_Toc35393639"/>
      <w:r>
        <w:rPr>
          <w:rFonts w:hint="eastAsia" w:ascii="仿宋" w:hAnsi="仿宋" w:eastAsia="仿宋" w:cs="宋体"/>
          <w:bCs/>
          <w:sz w:val="28"/>
          <w:szCs w:val="28"/>
          <w:highlight w:val="none"/>
        </w:rPr>
        <w:t>3.项目联系</w:t>
      </w:r>
      <w:r>
        <w:rPr>
          <w:rFonts w:ascii="仿宋" w:hAnsi="仿宋" w:eastAsia="仿宋" w:cs="宋体"/>
          <w:bCs/>
          <w:sz w:val="28"/>
          <w:szCs w:val="28"/>
          <w:highlight w:val="none"/>
        </w:rPr>
        <w:t>方式</w:t>
      </w:r>
      <w:bookmarkEnd w:id="43"/>
      <w:bookmarkEnd w:id="44"/>
      <w:bookmarkEnd w:id="45"/>
      <w:bookmarkEnd w:id="46"/>
    </w:p>
    <w:p>
      <w:pPr>
        <w:ind w:firstLine="565" w:firstLineChars="202"/>
        <w:rPr>
          <w:rFonts w:ascii="仿宋" w:hAnsi="仿宋" w:eastAsia="仿宋" w:cstheme="minorBidi"/>
          <w:sz w:val="28"/>
          <w:szCs w:val="28"/>
          <w:highlight w:val="none"/>
        </w:rPr>
      </w:pPr>
      <w:r>
        <w:rPr>
          <w:rFonts w:hint="eastAsia" w:ascii="仿宋" w:hAnsi="仿宋" w:eastAsia="仿宋" w:cstheme="minorBidi"/>
          <w:sz w:val="28"/>
          <w:szCs w:val="28"/>
          <w:highlight w:val="none"/>
        </w:rPr>
        <w:t>项目联系人：</w:t>
      </w:r>
      <w:r>
        <w:rPr>
          <w:rFonts w:hint="eastAsia" w:ascii="仿宋" w:hAnsi="仿宋" w:eastAsia="仿宋" w:cs="仿宋"/>
          <w:kern w:val="0"/>
          <w:sz w:val="28"/>
          <w:szCs w:val="28"/>
          <w:highlight w:val="none"/>
        </w:rPr>
        <w:t>余老师</w:t>
      </w:r>
    </w:p>
    <w:p>
      <w:pPr>
        <w:ind w:firstLine="565" w:firstLineChars="202"/>
        <w:rPr>
          <w:rFonts w:ascii="仿宋" w:hAnsi="仿宋" w:eastAsia="仿宋"/>
          <w:sz w:val="28"/>
          <w:szCs w:val="28"/>
          <w:highlight w:val="none"/>
          <w:u w:val="single"/>
        </w:rPr>
      </w:pPr>
      <w:r>
        <w:rPr>
          <w:rFonts w:hint="eastAsia" w:ascii="仿宋" w:hAnsi="仿宋" w:eastAsia="仿宋"/>
          <w:sz w:val="28"/>
          <w:szCs w:val="28"/>
          <w:highlight w:val="none"/>
        </w:rPr>
        <w:t>电　　 话：</w:t>
      </w:r>
      <w:r>
        <w:rPr>
          <w:rFonts w:hint="eastAsia" w:ascii="仿宋" w:hAnsi="仿宋" w:eastAsia="仿宋" w:cs="仿宋"/>
          <w:kern w:val="0"/>
          <w:sz w:val="28"/>
          <w:szCs w:val="28"/>
          <w:highlight w:val="none"/>
        </w:rPr>
        <w:t>0556-5283045</w:t>
      </w:r>
    </w:p>
    <w:p>
      <w:pPr>
        <w:ind w:firstLine="565" w:firstLineChars="202"/>
        <w:rPr>
          <w:rFonts w:ascii="仿宋" w:hAnsi="仿宋" w:eastAsia="仿宋"/>
          <w:sz w:val="28"/>
          <w:szCs w:val="28"/>
          <w:highlight w:val="none"/>
          <w:u w:val="single"/>
        </w:rPr>
      </w:pPr>
    </w:p>
    <w:p>
      <w:pPr>
        <w:rPr>
          <w:b/>
          <w:bCs/>
          <w:sz w:val="24"/>
          <w:szCs w:val="22"/>
          <w:highlight w:val="none"/>
        </w:rPr>
      </w:pPr>
    </w:p>
    <w:p>
      <w:pPr>
        <w:rPr>
          <w:b/>
          <w:bCs/>
          <w:sz w:val="24"/>
          <w:szCs w:val="22"/>
          <w:highlight w:val="none"/>
        </w:rPr>
      </w:pPr>
    </w:p>
    <w:p>
      <w:pPr>
        <w:rPr>
          <w:b/>
          <w:bCs/>
          <w:sz w:val="24"/>
          <w:szCs w:val="22"/>
          <w:highlight w:val="none"/>
        </w:rPr>
      </w:pPr>
    </w:p>
    <w:p>
      <w:pPr>
        <w:rPr>
          <w:b/>
          <w:bCs/>
          <w:sz w:val="24"/>
          <w:szCs w:val="22"/>
          <w:highlight w:val="none"/>
        </w:rPr>
      </w:pPr>
    </w:p>
    <w:p>
      <w:pPr>
        <w:pageBreakBefore/>
        <w:rPr>
          <w:b/>
          <w:bCs/>
          <w:sz w:val="28"/>
          <w:szCs w:val="24"/>
          <w:highlight w:val="none"/>
        </w:rPr>
      </w:pPr>
      <w:r>
        <w:rPr>
          <w:rFonts w:hint="eastAsia"/>
          <w:b/>
          <w:bCs/>
          <w:sz w:val="28"/>
          <w:szCs w:val="24"/>
          <w:highlight w:val="none"/>
        </w:rPr>
        <w:t xml:space="preserve">附件：            </w:t>
      </w:r>
    </w:p>
    <w:p>
      <w:pPr>
        <w:jc w:val="center"/>
        <w:rPr>
          <w:b/>
          <w:bCs/>
          <w:sz w:val="28"/>
          <w:szCs w:val="24"/>
          <w:highlight w:val="none"/>
        </w:rPr>
      </w:pPr>
      <w:r>
        <w:rPr>
          <w:rFonts w:hint="eastAsia"/>
          <w:b/>
          <w:bCs/>
          <w:sz w:val="32"/>
          <w:szCs w:val="28"/>
          <w:highlight w:val="none"/>
        </w:rPr>
        <w:t>获取磋商文件的函</w:t>
      </w:r>
    </w:p>
    <w:p>
      <w:pPr>
        <w:rPr>
          <w:rFonts w:ascii="仿宋" w:hAnsi="仿宋" w:eastAsia="仿宋" w:cs="仿宋"/>
          <w:sz w:val="32"/>
          <w:szCs w:val="32"/>
          <w:highlight w:val="none"/>
        </w:rPr>
      </w:pPr>
      <w:r>
        <w:rPr>
          <w:rFonts w:hint="eastAsia" w:ascii="仿宋" w:hAnsi="仿宋" w:eastAsia="仿宋" w:cs="仿宋"/>
          <w:sz w:val="32"/>
          <w:szCs w:val="32"/>
          <w:highlight w:val="none"/>
        </w:rPr>
        <w:t>安庆市皖宜项目咨询管理有限公司：</w:t>
      </w:r>
    </w:p>
    <w:p>
      <w:pPr>
        <w:ind w:firstLine="640"/>
        <w:rPr>
          <w:rFonts w:ascii="仿宋" w:hAnsi="仿宋" w:eastAsia="仿宋" w:cs="仿宋"/>
          <w:sz w:val="32"/>
          <w:szCs w:val="32"/>
          <w:highlight w:val="none"/>
        </w:rPr>
      </w:pPr>
      <w:r>
        <w:rPr>
          <w:rFonts w:hint="eastAsia" w:ascii="仿宋" w:hAnsi="仿宋" w:eastAsia="仿宋" w:cs="仿宋"/>
          <w:sz w:val="32"/>
          <w:szCs w:val="32"/>
          <w:highlight w:val="none"/>
        </w:rPr>
        <w:t>我单位要求获取安庆职业技术学院网络安全等级保护测评项目的磋商文件电子版，该电子版仅做本次投标使用，并承诺不做外用。</w:t>
      </w:r>
    </w:p>
    <w:p>
      <w:pPr>
        <w:ind w:firstLine="640"/>
        <w:rPr>
          <w:rFonts w:ascii="仿宋" w:hAnsi="仿宋" w:eastAsia="仿宋" w:cs="仿宋"/>
          <w:sz w:val="32"/>
          <w:szCs w:val="32"/>
          <w:highlight w:val="none"/>
        </w:rPr>
      </w:pPr>
      <w:r>
        <w:rPr>
          <w:rFonts w:hint="eastAsia" w:ascii="仿宋" w:hAnsi="仿宋" w:eastAsia="仿宋" w:cs="仿宋"/>
          <w:sz w:val="32"/>
          <w:szCs w:val="32"/>
          <w:highlight w:val="none"/>
        </w:rPr>
        <w:t>请将安庆职业技术学院网络安全等级保护测评项目磋商文件发至以下邮箱：</w:t>
      </w:r>
    </w:p>
    <w:p>
      <w:pPr>
        <w:rPr>
          <w:rFonts w:ascii="仿宋" w:hAnsi="仿宋" w:eastAsia="仿宋" w:cs="仿宋"/>
          <w:sz w:val="32"/>
          <w:szCs w:val="32"/>
          <w:highlight w:val="none"/>
          <w:u w:val="single"/>
        </w:rPr>
      </w:pPr>
      <w:r>
        <w:rPr>
          <w:rFonts w:hint="eastAsia" w:ascii="仿宋" w:hAnsi="仿宋" w:eastAsia="仿宋" w:cs="仿宋"/>
          <w:sz w:val="32"/>
          <w:szCs w:val="32"/>
          <w:highlight w:val="none"/>
          <w:u w:val="single"/>
        </w:rPr>
        <w:t xml:space="preserve">                           </w:t>
      </w:r>
    </w:p>
    <w:p>
      <w:p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联系人： </w:t>
      </w:r>
    </w:p>
    <w:p>
      <w:p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 xml:space="preserve">联系方式：         </w:t>
      </w:r>
    </w:p>
    <w:p>
      <w:pPr>
        <w:ind w:firstLine="640"/>
        <w:rPr>
          <w:rFonts w:ascii="仿宋" w:hAnsi="仿宋" w:eastAsia="仿宋" w:cs="仿宋"/>
          <w:sz w:val="32"/>
          <w:szCs w:val="32"/>
          <w:highlight w:val="none"/>
        </w:rPr>
      </w:pPr>
    </w:p>
    <w:p>
      <w:pPr>
        <w:ind w:firstLine="640"/>
        <w:rPr>
          <w:rFonts w:ascii="仿宋" w:hAnsi="仿宋" w:eastAsia="仿宋" w:cs="仿宋"/>
          <w:sz w:val="32"/>
          <w:szCs w:val="32"/>
          <w:highlight w:val="none"/>
        </w:rPr>
      </w:pPr>
      <w:r>
        <w:rPr>
          <w:rFonts w:hint="eastAsia" w:ascii="仿宋" w:hAnsi="仿宋" w:eastAsia="仿宋" w:cs="仿宋"/>
          <w:sz w:val="32"/>
          <w:szCs w:val="32"/>
          <w:highlight w:val="none"/>
        </w:rPr>
        <w:t xml:space="preserve">                                  XXX（单位名称）</w:t>
      </w:r>
    </w:p>
    <w:p>
      <w:pPr>
        <w:ind w:firstLine="640"/>
        <w:rPr>
          <w:rFonts w:ascii="仿宋" w:hAnsi="仿宋" w:eastAsia="仿宋" w:cs="仿宋"/>
          <w:sz w:val="32"/>
          <w:szCs w:val="32"/>
          <w:highlight w:val="none"/>
        </w:rPr>
      </w:pPr>
      <w:r>
        <w:rPr>
          <w:rFonts w:hint="eastAsia" w:ascii="仿宋" w:hAnsi="仿宋" w:eastAsia="仿宋" w:cs="仿宋"/>
          <w:sz w:val="32"/>
          <w:szCs w:val="32"/>
          <w:highlight w:val="none"/>
        </w:rPr>
        <w:t xml:space="preserve">                                  2021年 月  日</w:t>
      </w:r>
    </w:p>
    <w:p>
      <w:pPr>
        <w:ind w:firstLine="424" w:firstLineChars="202"/>
        <w:rPr>
          <w:szCs w:val="21"/>
          <w:highlight w:val="none"/>
        </w:rPr>
      </w:pPr>
      <w:r>
        <w:rPr>
          <w:szCs w:val="21"/>
          <w:highlight w:val="none"/>
        </w:rPr>
        <w:br w:type="page"/>
      </w:r>
    </w:p>
    <w:p>
      <w:pPr>
        <w:pStyle w:val="2"/>
        <w:spacing w:before="62" w:beforeLines="20" w:after="62" w:afterLines="20" w:line="480" w:lineRule="exact"/>
        <w:ind w:firstLine="0" w:firstLineChars="0"/>
        <w:jc w:val="center"/>
        <w:rPr>
          <w:rFonts w:ascii="Arial" w:hAnsi="Arial"/>
          <w:kern w:val="2"/>
          <w:sz w:val="32"/>
          <w:szCs w:val="32"/>
          <w:highlight w:val="none"/>
        </w:rPr>
      </w:pPr>
      <w:bookmarkStart w:id="47" w:name="_Toc20185"/>
      <w:r>
        <w:rPr>
          <w:rFonts w:hint="eastAsia" w:ascii="Arial" w:hAnsi="Arial"/>
          <w:kern w:val="2"/>
          <w:sz w:val="32"/>
          <w:szCs w:val="32"/>
          <w:highlight w:val="none"/>
        </w:rPr>
        <w:t>第二章</w:t>
      </w:r>
      <w:r>
        <w:rPr>
          <w:rFonts w:ascii="Arial" w:hAnsi="Arial"/>
          <w:kern w:val="2"/>
          <w:sz w:val="32"/>
          <w:szCs w:val="32"/>
          <w:highlight w:val="none"/>
        </w:rPr>
        <w:t xml:space="preserve">   </w:t>
      </w:r>
      <w:r>
        <w:rPr>
          <w:rFonts w:hint="eastAsia" w:ascii="Arial" w:hAnsi="Arial"/>
          <w:kern w:val="2"/>
          <w:sz w:val="32"/>
          <w:szCs w:val="32"/>
          <w:highlight w:val="none"/>
        </w:rPr>
        <w:t>磋商须知</w:t>
      </w:r>
      <w:bookmarkEnd w:id="1"/>
      <w:bookmarkEnd w:id="47"/>
    </w:p>
    <w:p>
      <w:pPr>
        <w:pStyle w:val="2"/>
        <w:tabs>
          <w:tab w:val="clear" w:pos="1440"/>
          <w:tab w:val="clear" w:pos="5670"/>
        </w:tabs>
        <w:spacing w:beforeLines="0" w:afterLines="0"/>
        <w:ind w:firstLine="0" w:firstLineChars="0"/>
        <w:jc w:val="center"/>
        <w:rPr>
          <w:rFonts w:ascii="宋体" w:hAnsi="宋体" w:eastAsia="宋体" w:cs="Tahoma"/>
          <w:bCs/>
          <w:kern w:val="0"/>
          <w:sz w:val="32"/>
          <w:szCs w:val="32"/>
          <w:highlight w:val="none"/>
        </w:rPr>
      </w:pPr>
      <w:bookmarkStart w:id="48" w:name="_Toc439316871"/>
      <w:bookmarkStart w:id="49" w:name="_Toc7863"/>
      <w:r>
        <w:rPr>
          <w:rFonts w:hint="eastAsia" w:ascii="宋体" w:hAnsi="宋体" w:eastAsia="宋体" w:cs="Tahoma"/>
          <w:bCs/>
          <w:kern w:val="0"/>
          <w:sz w:val="32"/>
          <w:szCs w:val="32"/>
          <w:highlight w:val="none"/>
        </w:rPr>
        <w:t>第一节</w:t>
      </w:r>
      <w:r>
        <w:rPr>
          <w:rFonts w:ascii="宋体" w:hAnsi="宋体" w:eastAsia="宋体" w:cs="Tahoma"/>
          <w:bCs/>
          <w:kern w:val="0"/>
          <w:sz w:val="32"/>
          <w:szCs w:val="32"/>
          <w:highlight w:val="none"/>
        </w:rPr>
        <w:t xml:space="preserve"> </w:t>
      </w:r>
      <w:r>
        <w:rPr>
          <w:rFonts w:hint="eastAsia" w:ascii="宋体" w:hAnsi="宋体" w:eastAsia="宋体" w:cs="Tahoma"/>
          <w:bCs/>
          <w:kern w:val="0"/>
          <w:sz w:val="32"/>
          <w:szCs w:val="32"/>
          <w:highlight w:val="none"/>
        </w:rPr>
        <w:t>磋商须知前附表</w:t>
      </w:r>
      <w:bookmarkEnd w:id="48"/>
      <w:bookmarkEnd w:id="49"/>
    </w:p>
    <w:tbl>
      <w:tblPr>
        <w:tblStyle w:val="60"/>
        <w:tblW w:w="900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6"/>
        <w:gridCol w:w="1734"/>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ind w:right="-358"/>
              <w:rPr>
                <w:rFonts w:ascii="宋体"/>
                <w:szCs w:val="21"/>
                <w:highlight w:val="none"/>
              </w:rPr>
            </w:pPr>
            <w:r>
              <w:rPr>
                <w:rFonts w:hint="eastAsia" w:ascii="宋体" w:hAnsi="宋体"/>
                <w:szCs w:val="21"/>
                <w:highlight w:val="none"/>
              </w:rPr>
              <w:t>序号</w:t>
            </w:r>
          </w:p>
        </w:tc>
        <w:tc>
          <w:tcPr>
            <w:tcW w:w="1734"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szCs w:val="21"/>
                <w:highlight w:val="none"/>
              </w:rPr>
            </w:pPr>
            <w:r>
              <w:rPr>
                <w:rFonts w:hint="eastAsia" w:ascii="宋体" w:hAnsi="宋体"/>
                <w:szCs w:val="21"/>
                <w:highlight w:val="none"/>
              </w:rPr>
              <w:t>内容</w:t>
            </w:r>
          </w:p>
        </w:tc>
        <w:tc>
          <w:tcPr>
            <w:tcW w:w="6480" w:type="dxa"/>
            <w:tcBorders>
              <w:top w:val="single" w:color="auto" w:sz="4" w:space="0"/>
              <w:left w:val="single" w:color="auto" w:sz="4" w:space="0"/>
              <w:bottom w:val="single" w:color="auto" w:sz="4" w:space="0"/>
            </w:tcBorders>
            <w:vAlign w:val="center"/>
          </w:tcPr>
          <w:p>
            <w:pPr>
              <w:tabs>
                <w:tab w:val="left" w:pos="1180"/>
              </w:tabs>
              <w:spacing w:line="480" w:lineRule="exact"/>
              <w:jc w:val="center"/>
              <w:rPr>
                <w:rFonts w:ascii="宋体"/>
                <w:szCs w:val="21"/>
                <w:highlight w:val="none"/>
              </w:rPr>
            </w:pPr>
            <w:r>
              <w:rPr>
                <w:rFonts w:hint="eastAsia" w:ascii="宋体" w:hAnsi="宋体"/>
                <w:szCs w:val="21"/>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1</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项目编号</w:t>
            </w:r>
          </w:p>
        </w:tc>
        <w:tc>
          <w:tcPr>
            <w:tcW w:w="6480" w:type="dxa"/>
            <w:tcBorders>
              <w:top w:val="single" w:color="auto" w:sz="4" w:space="0"/>
              <w:left w:val="single" w:color="auto" w:sz="4" w:space="0"/>
              <w:bottom w:val="single" w:color="auto" w:sz="4" w:space="0"/>
            </w:tcBorders>
            <w:vAlign w:val="center"/>
          </w:tcPr>
          <w:p>
            <w:pPr>
              <w:widowControl/>
              <w:snapToGrid w:val="0"/>
              <w:spacing w:line="480" w:lineRule="exact"/>
              <w:rPr>
                <w:rFonts w:ascii="宋体" w:hAnsi="宋体" w:cs="宋体"/>
                <w:kern w:val="0"/>
                <w:szCs w:val="21"/>
                <w:highlight w:val="none"/>
              </w:rPr>
            </w:pPr>
            <w:r>
              <w:rPr>
                <w:rFonts w:hint="eastAsia" w:ascii="宋体" w:hAnsi="宋体" w:cs="宋体"/>
                <w:kern w:val="0"/>
                <w:szCs w:val="21"/>
                <w:highlight w:val="none"/>
              </w:rPr>
              <w:t xml:space="preserve"> CG-AZ-2021-026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2</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项目名称</w:t>
            </w:r>
          </w:p>
        </w:tc>
        <w:tc>
          <w:tcPr>
            <w:tcW w:w="6480" w:type="dxa"/>
            <w:tcBorders>
              <w:top w:val="single" w:color="auto" w:sz="4" w:space="0"/>
              <w:left w:val="single" w:color="auto" w:sz="4" w:space="0"/>
              <w:bottom w:val="single" w:color="auto" w:sz="4" w:space="0"/>
            </w:tcBorders>
            <w:vAlign w:val="center"/>
          </w:tcPr>
          <w:p>
            <w:pPr>
              <w:widowControl/>
              <w:snapToGrid w:val="0"/>
              <w:spacing w:line="480" w:lineRule="exact"/>
              <w:rPr>
                <w:rFonts w:ascii="宋体" w:hAnsi="宋体" w:cs="宋体"/>
                <w:kern w:val="0"/>
                <w:szCs w:val="21"/>
                <w:highlight w:val="none"/>
              </w:rPr>
            </w:pPr>
            <w:r>
              <w:rPr>
                <w:rFonts w:hint="eastAsia" w:ascii="宋体" w:hAnsi="宋体" w:cs="宋体"/>
                <w:kern w:val="0"/>
                <w:szCs w:val="21"/>
                <w:highlight w:val="none"/>
              </w:rPr>
              <w:t>安庆职业技术学院网络安全等级保护测评项目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3</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采购人</w:t>
            </w:r>
          </w:p>
        </w:tc>
        <w:tc>
          <w:tcPr>
            <w:tcW w:w="6480" w:type="dxa"/>
            <w:tcBorders>
              <w:top w:val="single" w:color="auto" w:sz="4" w:space="0"/>
              <w:left w:val="single" w:color="auto" w:sz="4" w:space="0"/>
              <w:bottom w:val="single" w:color="auto" w:sz="4" w:space="0"/>
            </w:tcBorders>
            <w:vAlign w:val="center"/>
          </w:tcPr>
          <w:p>
            <w:pPr>
              <w:widowControl/>
              <w:snapToGrid w:val="0"/>
              <w:spacing w:line="480" w:lineRule="exact"/>
              <w:rPr>
                <w:rFonts w:ascii="宋体" w:hAnsi="宋体" w:cs="宋体"/>
                <w:kern w:val="0"/>
                <w:szCs w:val="21"/>
                <w:highlight w:val="none"/>
              </w:rPr>
            </w:pPr>
            <w:r>
              <w:rPr>
                <w:rFonts w:hint="eastAsia" w:ascii="宋体" w:hAnsi="宋体" w:cs="宋体"/>
                <w:kern w:val="0"/>
                <w:szCs w:val="21"/>
                <w:highlight w:val="none"/>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4</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代理机构</w:t>
            </w:r>
          </w:p>
        </w:tc>
        <w:tc>
          <w:tcPr>
            <w:tcW w:w="6480" w:type="dxa"/>
            <w:tcBorders>
              <w:top w:val="single" w:color="auto" w:sz="4" w:space="0"/>
              <w:left w:val="single" w:color="auto" w:sz="4" w:space="0"/>
              <w:bottom w:val="single" w:color="auto" w:sz="4" w:space="0"/>
            </w:tcBorders>
            <w:vAlign w:val="center"/>
          </w:tcPr>
          <w:p>
            <w:pPr>
              <w:widowControl/>
              <w:snapToGrid w:val="0"/>
              <w:spacing w:line="480" w:lineRule="exact"/>
              <w:rPr>
                <w:rFonts w:ascii="宋体" w:hAnsi="宋体" w:cs="宋体"/>
                <w:kern w:val="0"/>
                <w:szCs w:val="21"/>
                <w:highlight w:val="none"/>
              </w:rPr>
            </w:pPr>
            <w:r>
              <w:rPr>
                <w:rFonts w:hint="eastAsia" w:ascii="宋体" w:hAnsi="宋体" w:cs="宋体"/>
                <w:kern w:val="0"/>
                <w:szCs w:val="21"/>
                <w:highlight w:val="none"/>
              </w:rPr>
              <w:t>安庆市皖宜项目咨询管理有限公司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5</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采购方式</w:t>
            </w:r>
          </w:p>
        </w:tc>
        <w:tc>
          <w:tcPr>
            <w:tcW w:w="6480" w:type="dxa"/>
            <w:tcBorders>
              <w:top w:val="single" w:color="auto" w:sz="4" w:space="0"/>
              <w:left w:val="single" w:color="auto" w:sz="4" w:space="0"/>
              <w:bottom w:val="single" w:color="auto" w:sz="4" w:space="0"/>
            </w:tcBorders>
            <w:vAlign w:val="center"/>
          </w:tcPr>
          <w:p>
            <w:pPr>
              <w:spacing w:line="480" w:lineRule="exact"/>
              <w:rPr>
                <w:szCs w:val="21"/>
                <w:highlight w:val="none"/>
              </w:rPr>
            </w:pPr>
            <w:r>
              <w:rPr>
                <w:rFonts w:hint="eastAsia"/>
                <w:szCs w:val="21"/>
                <w:highlight w:val="none"/>
              </w:rPr>
              <w:t>竞争性磋商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6</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标段划分</w:t>
            </w:r>
          </w:p>
        </w:tc>
        <w:tc>
          <w:tcPr>
            <w:tcW w:w="6480" w:type="dxa"/>
            <w:tcBorders>
              <w:top w:val="single" w:color="auto" w:sz="4" w:space="0"/>
              <w:left w:val="single" w:color="auto" w:sz="4" w:space="0"/>
              <w:bottom w:val="single" w:color="auto" w:sz="4" w:space="0"/>
            </w:tcBorders>
            <w:vAlign w:val="center"/>
          </w:tcPr>
          <w:p>
            <w:pPr>
              <w:spacing w:line="480" w:lineRule="exact"/>
              <w:rPr>
                <w:szCs w:val="21"/>
                <w:highlight w:val="none"/>
              </w:rPr>
            </w:pPr>
            <w:r>
              <w:rPr>
                <w:rFonts w:hint="eastAsia"/>
                <w:szCs w:val="21"/>
                <w:highlight w:val="none"/>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7</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资金来源</w:t>
            </w:r>
          </w:p>
        </w:tc>
        <w:tc>
          <w:tcPr>
            <w:tcW w:w="6480" w:type="dxa"/>
            <w:tcBorders>
              <w:top w:val="single" w:color="auto" w:sz="4" w:space="0"/>
              <w:left w:val="single" w:color="auto" w:sz="4" w:space="0"/>
              <w:bottom w:val="single" w:color="auto" w:sz="4" w:space="0"/>
            </w:tcBorders>
            <w:vAlign w:val="center"/>
          </w:tcPr>
          <w:p>
            <w:pPr>
              <w:spacing w:line="420" w:lineRule="exact"/>
              <w:rPr>
                <w:szCs w:val="21"/>
                <w:highlight w:val="none"/>
              </w:rPr>
            </w:pPr>
            <w:r>
              <w:rPr>
                <w:rFonts w:hint="eastAsia" w:ascii="宋体" w:hAnsi="宋体" w:cs="宋体"/>
                <w:szCs w:val="21"/>
                <w:highlight w:val="none"/>
              </w:rPr>
              <w:t>财政资金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786" w:type="dxa"/>
            <w:tcBorders>
              <w:top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8</w:t>
            </w:r>
          </w:p>
        </w:tc>
        <w:tc>
          <w:tcPr>
            <w:tcW w:w="1734" w:type="dxa"/>
            <w:tcBorders>
              <w:top w:val="single" w:color="auto" w:sz="4" w:space="0"/>
              <w:left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最高磋商限价</w:t>
            </w:r>
          </w:p>
        </w:tc>
        <w:tc>
          <w:tcPr>
            <w:tcW w:w="6480" w:type="dxa"/>
            <w:tcBorders>
              <w:top w:val="single" w:color="auto" w:sz="4" w:space="0"/>
              <w:left w:val="single" w:color="auto" w:sz="4" w:space="0"/>
              <w:bottom w:val="single" w:color="auto" w:sz="4" w:space="0"/>
            </w:tcBorders>
            <w:vAlign w:val="center"/>
          </w:tcPr>
          <w:p>
            <w:pPr>
              <w:spacing w:line="420" w:lineRule="exact"/>
              <w:rPr>
                <w:szCs w:val="21"/>
                <w:highlight w:val="none"/>
              </w:rPr>
            </w:pPr>
            <w:r>
              <w:rPr>
                <w:rFonts w:hint="eastAsia" w:ascii="宋体" w:hAnsi="宋体" w:cs="宋体"/>
                <w:szCs w:val="21"/>
                <w:highlight w:val="none"/>
              </w:rPr>
              <w:t xml:space="preserve"> 25万元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9</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项目地点</w:t>
            </w:r>
          </w:p>
        </w:tc>
        <w:tc>
          <w:tcPr>
            <w:tcW w:w="6480" w:type="dxa"/>
            <w:tcBorders>
              <w:top w:val="single" w:color="auto" w:sz="4" w:space="0"/>
              <w:left w:val="single" w:color="auto" w:sz="4" w:space="0"/>
              <w:bottom w:val="single" w:color="auto" w:sz="4" w:space="0"/>
            </w:tcBorders>
            <w:vAlign w:val="center"/>
          </w:tcPr>
          <w:p>
            <w:pPr>
              <w:spacing w:line="420" w:lineRule="exact"/>
              <w:rPr>
                <w:szCs w:val="21"/>
                <w:highlight w:val="none"/>
              </w:rPr>
            </w:pPr>
            <w:r>
              <w:rPr>
                <w:rFonts w:hint="eastAsia" w:ascii="宋体" w:hAnsi="宋体" w:cs="宋体"/>
                <w:szCs w:val="21"/>
                <w:highlight w:val="none"/>
              </w:rPr>
              <w:t>安庆职业技术学院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1</w:t>
            </w:r>
            <w:r>
              <w:rPr>
                <w:rFonts w:hint="eastAsia" w:ascii="宋体" w:hAnsi="宋体"/>
                <w:szCs w:val="21"/>
                <w:highlight w:val="none"/>
              </w:rPr>
              <w:t>0</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Cs w:val="21"/>
                <w:highlight w:val="none"/>
              </w:rPr>
            </w:pPr>
            <w:r>
              <w:rPr>
                <w:rFonts w:hint="eastAsia"/>
                <w:szCs w:val="21"/>
                <w:highlight w:val="none"/>
              </w:rPr>
              <w:t>服务期</w:t>
            </w:r>
          </w:p>
        </w:tc>
        <w:tc>
          <w:tcPr>
            <w:tcW w:w="6480" w:type="dxa"/>
            <w:tcBorders>
              <w:top w:val="single" w:color="auto" w:sz="4" w:space="0"/>
              <w:left w:val="single" w:color="auto" w:sz="4" w:space="0"/>
              <w:bottom w:val="single" w:color="auto" w:sz="4" w:space="0"/>
            </w:tcBorders>
            <w:vAlign w:val="center"/>
          </w:tcPr>
          <w:p>
            <w:pPr>
              <w:spacing w:line="480" w:lineRule="exact"/>
              <w:rPr>
                <w:szCs w:val="21"/>
                <w:highlight w:val="none"/>
              </w:rPr>
            </w:pPr>
            <w:r>
              <w:rPr>
                <w:rFonts w:hint="eastAsia"/>
                <w:szCs w:val="21"/>
                <w:highlight w:val="none"/>
              </w:rPr>
              <w:t>自合同签字生效后</w:t>
            </w:r>
            <w:r>
              <w:rPr>
                <w:rFonts w:hint="eastAsia"/>
                <w:szCs w:val="21"/>
                <w:highlight w:val="none"/>
                <w:u w:val="single"/>
              </w:rPr>
              <w:t xml:space="preserve"> </w:t>
            </w:r>
            <w:r>
              <w:rPr>
                <w:szCs w:val="21"/>
                <w:highlight w:val="none"/>
                <w:u w:val="single"/>
              </w:rPr>
              <w:t>3</w:t>
            </w:r>
            <w:r>
              <w:rPr>
                <w:rFonts w:hint="eastAsia"/>
                <w:szCs w:val="21"/>
                <w:highlight w:val="none"/>
                <w:u w:val="single"/>
              </w:rPr>
              <w:t xml:space="preserve">0 </w:t>
            </w:r>
            <w:r>
              <w:rPr>
                <w:rFonts w:hint="eastAsia"/>
                <w:szCs w:val="21"/>
                <w:highlight w:val="none"/>
              </w:rPr>
              <w:t>日</w:t>
            </w:r>
            <w:r>
              <w:rPr>
                <w:rFonts w:hint="eastAsia"/>
                <w:szCs w:val="21"/>
                <w:highlight w:val="none"/>
              </w:rPr>
              <w:t>历天内完成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68"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1</w:t>
            </w:r>
            <w:r>
              <w:rPr>
                <w:rFonts w:hint="eastAsia" w:ascii="宋体" w:hAnsi="宋体"/>
                <w:szCs w:val="21"/>
                <w:highlight w:val="none"/>
              </w:rPr>
              <w:t>1</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资格条件</w:t>
            </w:r>
          </w:p>
        </w:tc>
        <w:tc>
          <w:tcPr>
            <w:tcW w:w="6480" w:type="dxa"/>
            <w:tcBorders>
              <w:top w:val="single" w:color="auto" w:sz="4" w:space="0"/>
              <w:left w:val="single" w:color="auto" w:sz="4" w:space="0"/>
              <w:bottom w:val="single" w:color="auto" w:sz="4" w:space="0"/>
            </w:tcBorders>
            <w:vAlign w:val="center"/>
          </w:tcPr>
          <w:p>
            <w:pPr>
              <w:spacing w:line="420" w:lineRule="exact"/>
              <w:rPr>
                <w:rFonts w:ascii="宋体" w:hAnsi="宋体" w:cs="宋体"/>
                <w:szCs w:val="21"/>
                <w:highlight w:val="none"/>
              </w:rPr>
            </w:pPr>
            <w:r>
              <w:rPr>
                <w:rFonts w:hint="eastAsia" w:ascii="宋体" w:hAnsi="宋体" w:cs="宋体"/>
                <w:szCs w:val="21"/>
                <w:highlight w:val="none"/>
              </w:rPr>
              <w:t>1.满足《中华人民共和国政府采购法》第二十二条规定；</w:t>
            </w:r>
          </w:p>
          <w:p>
            <w:pPr>
              <w:spacing w:line="420" w:lineRule="exact"/>
              <w:rPr>
                <w:rFonts w:ascii="宋体" w:hAnsi="宋体" w:cs="宋体"/>
                <w:szCs w:val="21"/>
                <w:highlight w:val="none"/>
              </w:rPr>
            </w:pPr>
            <w:r>
              <w:rPr>
                <w:rFonts w:hint="eastAsia" w:ascii="宋体" w:hAnsi="宋体" w:cs="宋体"/>
                <w:szCs w:val="21"/>
                <w:highlight w:val="none"/>
              </w:rPr>
              <w:t>2.落实政府采购政策需满足的资格要求：/</w:t>
            </w:r>
          </w:p>
          <w:p>
            <w:pPr>
              <w:spacing w:line="420" w:lineRule="exact"/>
              <w:rPr>
                <w:rFonts w:ascii="宋体" w:hAnsi="宋体" w:cs="宋体"/>
                <w:szCs w:val="21"/>
                <w:highlight w:val="none"/>
              </w:rPr>
            </w:pPr>
            <w:r>
              <w:rPr>
                <w:rFonts w:hint="eastAsia" w:ascii="宋体" w:hAnsi="宋体" w:cs="宋体"/>
                <w:szCs w:val="21"/>
                <w:highlight w:val="none"/>
              </w:rPr>
              <w:t>3.本项目的特定资格要求：</w:t>
            </w:r>
            <w:r>
              <w:rPr>
                <w:rFonts w:hint="eastAsia" w:ascii="宋体" w:hAnsi="宋体" w:cs="宋体"/>
                <w:b/>
                <w:bCs/>
                <w:szCs w:val="21"/>
                <w:highlight w:val="none"/>
              </w:rPr>
              <w:t>供应商需具备省级及以上网络安全等级保护工作协调小组办公室颁发的网络安全等级保护测评机构推荐证书；</w:t>
            </w:r>
          </w:p>
          <w:p>
            <w:pPr>
              <w:spacing w:line="420" w:lineRule="exact"/>
              <w:rPr>
                <w:rFonts w:ascii="宋体"/>
                <w:szCs w:val="21"/>
                <w:highlight w:val="none"/>
              </w:rPr>
            </w:pPr>
            <w:r>
              <w:rPr>
                <w:rFonts w:hint="eastAsia" w:ascii="宋体" w:hAnsi="宋体" w:cs="宋体"/>
                <w:szCs w:val="21"/>
                <w:highlight w:val="none"/>
              </w:rPr>
              <w:t>4.具有合法有效的营业执照。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1</w:t>
            </w:r>
            <w:r>
              <w:rPr>
                <w:rFonts w:hint="eastAsia" w:ascii="宋体" w:hAnsi="宋体"/>
                <w:szCs w:val="21"/>
                <w:highlight w:val="none"/>
              </w:rPr>
              <w:t>2</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资格审查方式</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szCs w:val="21"/>
                <w:highlight w:val="none"/>
              </w:rPr>
            </w:pPr>
            <w:r>
              <w:rPr>
                <w:rFonts w:hint="eastAsia" w:ascii="宋体" w:hAnsi="宋体"/>
                <w:szCs w:val="21"/>
                <w:highlight w:val="none"/>
              </w:rPr>
              <w:t>资格后审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1</w:t>
            </w:r>
            <w:r>
              <w:rPr>
                <w:rFonts w:hint="eastAsia" w:ascii="宋体" w:hAnsi="宋体"/>
                <w:szCs w:val="21"/>
                <w:highlight w:val="none"/>
              </w:rPr>
              <w:t>3</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磋商有效期</w:t>
            </w:r>
          </w:p>
        </w:tc>
        <w:tc>
          <w:tcPr>
            <w:tcW w:w="6480" w:type="dxa"/>
            <w:tcBorders>
              <w:top w:val="single" w:color="auto" w:sz="4" w:space="0"/>
              <w:left w:val="single" w:color="auto" w:sz="4" w:space="0"/>
              <w:bottom w:val="single" w:color="auto" w:sz="4" w:space="0"/>
            </w:tcBorders>
            <w:vAlign w:val="center"/>
          </w:tcPr>
          <w:p>
            <w:pPr>
              <w:spacing w:line="480" w:lineRule="exact"/>
              <w:ind w:left="-2" w:leftChars="-1" w:firstLine="2"/>
              <w:rPr>
                <w:rFonts w:ascii="宋体"/>
                <w:szCs w:val="21"/>
                <w:highlight w:val="none"/>
              </w:rPr>
            </w:pPr>
            <w:r>
              <w:rPr>
                <w:rFonts w:ascii="宋体" w:hAnsi="宋体"/>
                <w:szCs w:val="21"/>
                <w:highlight w:val="none"/>
              </w:rPr>
              <w:t>180日历天</w:t>
            </w:r>
            <w:r>
              <w:rPr>
                <w:rFonts w:hint="eastAsia" w:ascii="宋体" w:hAnsi="宋体"/>
                <w:szCs w:val="21"/>
                <w:highlight w:val="non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cs="宋体"/>
                <w:color w:val="000000"/>
                <w:szCs w:val="21"/>
                <w:highlight w:val="none"/>
              </w:rPr>
              <w:t>14</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磋商保证金</w:t>
            </w:r>
          </w:p>
        </w:tc>
        <w:tc>
          <w:tcPr>
            <w:tcW w:w="6480" w:type="dxa"/>
            <w:tcBorders>
              <w:top w:val="single" w:color="auto" w:sz="4" w:space="0"/>
              <w:left w:val="single" w:color="auto" w:sz="4" w:space="0"/>
              <w:bottom w:val="single" w:color="auto" w:sz="4" w:space="0"/>
            </w:tcBorders>
            <w:vAlign w:val="center"/>
          </w:tcPr>
          <w:p>
            <w:pPr>
              <w:spacing w:line="420" w:lineRule="exact"/>
              <w:rPr>
                <w:rFonts w:ascii="宋体"/>
                <w:szCs w:val="21"/>
                <w:highlight w:val="none"/>
              </w:rPr>
            </w:pPr>
            <w:r>
              <w:rPr>
                <w:rFonts w:hint="eastAsia" w:ascii="宋体"/>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7"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15</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提交响应文件</w:t>
            </w:r>
          </w:p>
        </w:tc>
        <w:tc>
          <w:tcPr>
            <w:tcW w:w="6480" w:type="dxa"/>
            <w:tcBorders>
              <w:top w:val="single" w:color="auto" w:sz="4" w:space="0"/>
              <w:left w:val="single" w:color="auto" w:sz="4" w:space="0"/>
              <w:bottom w:val="single" w:color="auto" w:sz="4" w:space="0"/>
            </w:tcBorders>
            <w:vAlign w:val="center"/>
          </w:tcPr>
          <w:p>
            <w:pPr>
              <w:pStyle w:val="19"/>
              <w:widowControl/>
              <w:spacing w:line="420" w:lineRule="exact"/>
              <w:jc w:val="both"/>
              <w:rPr>
                <w:rFonts w:hint="eastAsia" w:ascii="宋体" w:hAnsi="宋体" w:eastAsia="宋体" w:cs="宋体"/>
                <w:sz w:val="21"/>
                <w:szCs w:val="21"/>
                <w:highlight w:val="none"/>
                <w:lang w:eastAsia="zh-CN"/>
              </w:rPr>
            </w:pPr>
            <w:r>
              <w:rPr>
                <w:rFonts w:hint="eastAsia" w:ascii="宋体" w:hAnsi="宋体" w:cs="宋体"/>
                <w:sz w:val="21"/>
                <w:szCs w:val="21"/>
                <w:highlight w:val="none"/>
              </w:rPr>
              <w:t>1、提交响应文件截止时间：</w:t>
            </w:r>
            <w:r>
              <w:rPr>
                <w:rFonts w:hint="eastAsia" w:ascii="宋体" w:hAnsi="宋体" w:cs="宋体"/>
                <w:sz w:val="21"/>
                <w:szCs w:val="21"/>
                <w:highlight w:val="none"/>
              </w:rPr>
              <w:t>2021年11月</w:t>
            </w:r>
            <w:r>
              <w:rPr>
                <w:rFonts w:hint="eastAsia" w:ascii="宋体" w:hAnsi="宋体" w:cs="宋体"/>
                <w:sz w:val="21"/>
                <w:szCs w:val="21"/>
                <w:highlight w:val="none"/>
                <w:lang w:val="en-US" w:eastAsia="zh-CN"/>
              </w:rPr>
              <w:t>24</w:t>
            </w:r>
            <w:r>
              <w:rPr>
                <w:rFonts w:hint="eastAsia" w:ascii="宋体" w:hAnsi="宋体" w:cs="宋体"/>
                <w:sz w:val="21"/>
                <w:szCs w:val="21"/>
                <w:highlight w:val="none"/>
              </w:rPr>
              <w:t>日</w:t>
            </w:r>
            <w:r>
              <w:rPr>
                <w:rFonts w:hint="eastAsia" w:ascii="宋体" w:hAnsi="宋体" w:cs="宋体"/>
                <w:sz w:val="21"/>
                <w:szCs w:val="21"/>
                <w:highlight w:val="none"/>
                <w:lang w:val="en-US" w:eastAsia="zh-CN"/>
              </w:rPr>
              <w:t>15</w:t>
            </w:r>
            <w:r>
              <w:rPr>
                <w:rFonts w:hint="eastAsia" w:ascii="宋体" w:hAnsi="宋体" w:cs="宋体"/>
                <w:sz w:val="21"/>
                <w:szCs w:val="21"/>
                <w:highlight w:val="none"/>
              </w:rPr>
              <w:t>点</w:t>
            </w:r>
            <w:r>
              <w:rPr>
                <w:rFonts w:hint="eastAsia" w:ascii="宋体" w:hAnsi="宋体" w:cs="宋体"/>
                <w:sz w:val="21"/>
                <w:szCs w:val="21"/>
                <w:highlight w:val="none"/>
                <w:lang w:val="en-US" w:eastAsia="zh-CN"/>
              </w:rPr>
              <w:t>30</w:t>
            </w:r>
            <w:r>
              <w:rPr>
                <w:rFonts w:hint="eastAsia" w:ascii="宋体" w:hAnsi="宋体" w:cs="宋体"/>
                <w:sz w:val="21"/>
                <w:szCs w:val="21"/>
                <w:highlight w:val="none"/>
              </w:rPr>
              <w:t>分</w:t>
            </w:r>
          </w:p>
          <w:p>
            <w:pPr>
              <w:adjustRightInd w:val="0"/>
              <w:snapToGrid w:val="0"/>
              <w:spacing w:line="420" w:lineRule="exact"/>
              <w:rPr>
                <w:rFonts w:hAnsi="宋体"/>
                <w:b/>
                <w:bCs/>
                <w:szCs w:val="21"/>
                <w:highlight w:val="none"/>
              </w:rPr>
            </w:pPr>
            <w:r>
              <w:rPr>
                <w:rFonts w:hint="eastAsia" w:hAnsi="宋体"/>
                <w:b/>
                <w:bCs/>
                <w:szCs w:val="21"/>
                <w:highlight w:val="none"/>
              </w:rPr>
              <w:t>2、壹份正本，壹份副本，装在同一密封袋内，密封提交</w:t>
            </w:r>
            <w:r>
              <w:rPr>
                <w:rFonts w:hint="eastAsia" w:hAnsi="宋体" w:cs="宋体"/>
                <w:b/>
                <w:bCs/>
                <w:highlight w:val="none"/>
              </w:rPr>
              <w:t>。</w:t>
            </w:r>
          </w:p>
          <w:p>
            <w:pPr>
              <w:pStyle w:val="29"/>
              <w:spacing w:line="420" w:lineRule="exact"/>
              <w:rPr>
                <w:rFonts w:ascii="Times New Roman" w:hAnsi="Times New Roman" w:cs="Times New Roman"/>
                <w:b/>
                <w:bCs/>
                <w:highlight w:val="none"/>
              </w:rPr>
            </w:pPr>
            <w:r>
              <w:rPr>
                <w:rFonts w:hint="eastAsia" w:ascii="Times New Roman" w:hAnsi="Times New Roman" w:cs="Times New Roman"/>
                <w:b/>
                <w:bCs/>
                <w:highlight w:val="none"/>
              </w:rPr>
              <w:t>3、密封袋上应加盖响应人公章。</w:t>
            </w:r>
          </w:p>
          <w:p>
            <w:pPr>
              <w:pStyle w:val="19"/>
              <w:widowControl/>
              <w:spacing w:line="480" w:lineRule="exact"/>
              <w:jc w:val="both"/>
              <w:rPr>
                <w:rFonts w:ascii="宋体"/>
                <w:szCs w:val="21"/>
                <w:highlight w:val="none"/>
              </w:rPr>
            </w:pPr>
            <w:r>
              <w:rPr>
                <w:rFonts w:hint="eastAsia"/>
                <w:sz w:val="21"/>
                <w:highlight w:val="none"/>
              </w:rPr>
              <w:t>4、响应文件需采用固定胶装方式装订并编码。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2" w:hRule="atLeast"/>
          <w:jc w:val="center"/>
        </w:trPr>
        <w:tc>
          <w:tcPr>
            <w:tcW w:w="786" w:type="dxa"/>
            <w:tcBorders>
              <w:top w:val="single" w:color="auto" w:sz="4" w:space="0"/>
              <w:bottom w:val="single" w:color="auto" w:sz="4" w:space="0"/>
              <w:right w:val="single" w:color="auto" w:sz="4" w:space="0"/>
            </w:tcBorders>
            <w:vAlign w:val="center"/>
          </w:tcPr>
          <w:p>
            <w:pPr>
              <w:spacing w:line="420" w:lineRule="exact"/>
              <w:jc w:val="center"/>
              <w:rPr>
                <w:rFonts w:ascii="宋体" w:hAnsi="宋体"/>
                <w:szCs w:val="21"/>
                <w:highlight w:val="none"/>
              </w:rPr>
            </w:pPr>
            <w:r>
              <w:rPr>
                <w:rFonts w:ascii="宋体" w:hAnsi="宋体"/>
                <w:szCs w:val="21"/>
                <w:highlight w:val="none"/>
              </w:rPr>
              <w:t>1</w:t>
            </w:r>
            <w:r>
              <w:rPr>
                <w:rFonts w:hint="eastAsia" w:ascii="宋体" w:hAnsi="宋体"/>
                <w:szCs w:val="21"/>
                <w:highlight w:val="none"/>
              </w:rPr>
              <w:t>6</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szCs w:val="21"/>
                <w:highlight w:val="none"/>
              </w:rPr>
            </w:pPr>
            <w:r>
              <w:rPr>
                <w:rFonts w:hint="eastAsia" w:ascii="宋体" w:hAnsi="宋体"/>
                <w:szCs w:val="21"/>
                <w:highlight w:val="none"/>
              </w:rPr>
              <w:t>媒介发布</w:t>
            </w:r>
          </w:p>
        </w:tc>
        <w:tc>
          <w:tcPr>
            <w:tcW w:w="6480" w:type="dxa"/>
            <w:tcBorders>
              <w:top w:val="single" w:color="auto" w:sz="4" w:space="0"/>
              <w:left w:val="single" w:color="auto" w:sz="4" w:space="0"/>
              <w:bottom w:val="single" w:color="auto" w:sz="4" w:space="0"/>
            </w:tcBorders>
            <w:vAlign w:val="center"/>
          </w:tcPr>
          <w:p>
            <w:pPr>
              <w:autoSpaceDE w:val="0"/>
              <w:autoSpaceDN w:val="0"/>
              <w:adjustRightInd w:val="0"/>
              <w:spacing w:line="380" w:lineRule="exact"/>
              <w:jc w:val="left"/>
              <w:rPr>
                <w:rFonts w:ascii="宋体" w:hAnsi="宋体"/>
                <w:szCs w:val="21"/>
                <w:highlight w:val="none"/>
              </w:rPr>
            </w:pPr>
            <w:r>
              <w:rPr>
                <w:rFonts w:hint="eastAsia" w:ascii="宋体" w:hAnsi="宋体" w:cs="宋体"/>
                <w:szCs w:val="21"/>
                <w:highlight w:val="none"/>
              </w:rPr>
              <w:t>在安庆职业技术学院（https://www.aqvtc.edu.cn/）招标采购栏目、安庆市皖宜项目咨询管理有限公司（http://wyxmzx.com/index.html）发布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17</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磋商时间和地点</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hAnsi="宋体"/>
                <w:szCs w:val="21"/>
                <w:highlight w:val="none"/>
              </w:rPr>
            </w:pPr>
            <w:r>
              <w:rPr>
                <w:rFonts w:hint="eastAsia" w:ascii="宋体" w:hAnsi="宋体"/>
                <w:szCs w:val="21"/>
                <w:highlight w:val="none"/>
              </w:rPr>
              <w:t>时间</w:t>
            </w:r>
            <w:r>
              <w:rPr>
                <w:rFonts w:ascii="宋体" w:hAnsi="宋体"/>
                <w:szCs w:val="21"/>
                <w:highlight w:val="none"/>
              </w:rPr>
              <w:t>:</w:t>
            </w:r>
            <w:r>
              <w:rPr>
                <w:rFonts w:hint="eastAsia" w:ascii="宋体" w:hAnsi="宋体"/>
                <w:szCs w:val="21"/>
                <w:highlight w:val="none"/>
              </w:rPr>
              <w:t>2021年11月</w:t>
            </w:r>
            <w:r>
              <w:rPr>
                <w:rFonts w:hint="eastAsia" w:ascii="宋体" w:hAnsi="宋体"/>
                <w:szCs w:val="21"/>
                <w:highlight w:val="none"/>
                <w:lang w:val="en-US" w:eastAsia="zh-CN"/>
              </w:rPr>
              <w:t>24</w:t>
            </w:r>
            <w:r>
              <w:rPr>
                <w:rFonts w:hint="eastAsia" w:ascii="宋体" w:hAnsi="宋体"/>
                <w:szCs w:val="21"/>
                <w:highlight w:val="none"/>
              </w:rPr>
              <w:t>日</w:t>
            </w:r>
            <w:r>
              <w:rPr>
                <w:rFonts w:hint="eastAsia" w:ascii="宋体" w:hAnsi="宋体"/>
                <w:szCs w:val="21"/>
                <w:highlight w:val="none"/>
                <w:lang w:val="en-US" w:eastAsia="zh-CN"/>
              </w:rPr>
              <w:t>15</w:t>
            </w:r>
            <w:r>
              <w:rPr>
                <w:rFonts w:hint="eastAsia" w:ascii="宋体" w:hAnsi="宋体"/>
                <w:szCs w:val="21"/>
                <w:highlight w:val="none"/>
              </w:rPr>
              <w:t>点</w:t>
            </w:r>
            <w:r>
              <w:rPr>
                <w:rFonts w:hint="eastAsia" w:ascii="宋体" w:hAnsi="宋体"/>
                <w:szCs w:val="21"/>
                <w:highlight w:val="none"/>
                <w:lang w:val="en-US" w:eastAsia="zh-CN"/>
              </w:rPr>
              <w:t>30</w:t>
            </w:r>
            <w:r>
              <w:rPr>
                <w:rFonts w:hint="eastAsia" w:ascii="宋体" w:hAnsi="宋体"/>
                <w:szCs w:val="21"/>
                <w:highlight w:val="none"/>
              </w:rPr>
              <w:t>分</w:t>
            </w:r>
          </w:p>
          <w:p>
            <w:pPr>
              <w:spacing w:line="480" w:lineRule="exact"/>
              <w:rPr>
                <w:rFonts w:ascii="宋体"/>
                <w:szCs w:val="21"/>
                <w:highlight w:val="none"/>
              </w:rPr>
            </w:pPr>
            <w:r>
              <w:rPr>
                <w:rFonts w:hint="eastAsia" w:ascii="宋体" w:hAnsi="宋体"/>
                <w:szCs w:val="21"/>
                <w:highlight w:val="none"/>
              </w:rPr>
              <w:t>地点</w:t>
            </w:r>
            <w:r>
              <w:rPr>
                <w:rFonts w:ascii="宋体" w:hAnsi="宋体"/>
                <w:szCs w:val="21"/>
                <w:highlight w:val="none"/>
              </w:rPr>
              <w:t xml:space="preserve">: </w:t>
            </w:r>
            <w:r>
              <w:rPr>
                <w:rFonts w:hint="eastAsia" w:ascii="宋体" w:hAnsi="宋体"/>
                <w:szCs w:val="21"/>
                <w:highlight w:val="none"/>
              </w:rPr>
              <w:t>安庆市公共资源交易中心</w:t>
            </w:r>
          </w:p>
          <w:p>
            <w:pPr>
              <w:spacing w:line="480" w:lineRule="exact"/>
              <w:rPr>
                <w:rFonts w:ascii="宋体"/>
                <w:szCs w:val="21"/>
                <w:highlight w:val="none"/>
              </w:rPr>
            </w:pPr>
            <w:r>
              <w:rPr>
                <w:rFonts w:ascii="宋体" w:hAnsi="宋体"/>
                <w:szCs w:val="21"/>
                <w:highlight w:val="none"/>
              </w:rPr>
              <w:t>(</w:t>
            </w:r>
            <w:r>
              <w:rPr>
                <w:rFonts w:hint="eastAsia" w:ascii="宋体" w:hAnsi="宋体"/>
                <w:szCs w:val="21"/>
                <w:highlight w:val="none"/>
              </w:rPr>
              <w:t>具体磋商地点于磋商当天见一楼大厅电子显示屏</w:t>
            </w:r>
            <w:r>
              <w:rPr>
                <w:rFonts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18</w:t>
            </w:r>
          </w:p>
        </w:tc>
        <w:tc>
          <w:tcPr>
            <w:tcW w:w="1734"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szCs w:val="21"/>
                <w:highlight w:val="none"/>
              </w:rPr>
            </w:pPr>
            <w:r>
              <w:rPr>
                <w:rFonts w:hint="eastAsia" w:ascii="宋体" w:hAnsi="宋体"/>
                <w:szCs w:val="21"/>
                <w:highlight w:val="none"/>
              </w:rPr>
              <w:t>评审方法</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szCs w:val="21"/>
                <w:highlight w:val="none"/>
              </w:rPr>
            </w:pPr>
            <w:r>
              <w:rPr>
                <w:rFonts w:hint="eastAsia" w:ascii="宋体" w:hAnsi="宋体"/>
                <w:szCs w:val="21"/>
                <w:highlight w:val="none"/>
              </w:rPr>
              <w:t>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19</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履约保证金</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b/>
                <w:bCs/>
                <w:szCs w:val="21"/>
                <w:highlight w:val="none"/>
              </w:rPr>
            </w:pPr>
            <w:r>
              <w:rPr>
                <w:rFonts w:hint="eastAsia" w:ascii="宋体" w:hAnsi="宋体"/>
                <w:szCs w:val="21"/>
                <w:highlight w:val="none"/>
              </w:rPr>
              <w:t>履约保证金金额：</w:t>
            </w:r>
            <w:r>
              <w:rPr>
                <w:rFonts w:hint="eastAsia" w:ascii="宋体" w:hAnsi="宋体"/>
                <w:b/>
                <w:bCs/>
                <w:szCs w:val="21"/>
                <w:highlight w:val="none"/>
              </w:rPr>
              <w:t>成交价的</w:t>
            </w:r>
            <w:r>
              <w:rPr>
                <w:rFonts w:hint="eastAsia" w:ascii="宋体" w:hAnsi="宋体"/>
                <w:b/>
                <w:bCs/>
                <w:szCs w:val="21"/>
                <w:highlight w:val="none"/>
                <w:u w:val="single"/>
              </w:rPr>
              <w:t xml:space="preserve"> 10 </w:t>
            </w:r>
            <w:r>
              <w:rPr>
                <w:rFonts w:hint="eastAsia" w:ascii="宋体" w:hAnsi="宋体"/>
                <w:b/>
                <w:bCs/>
                <w:szCs w:val="21"/>
                <w:highlight w:val="none"/>
              </w:rPr>
              <w:t>%</w:t>
            </w:r>
          </w:p>
          <w:p>
            <w:pPr>
              <w:spacing w:line="420" w:lineRule="exact"/>
              <w:rPr>
                <w:rFonts w:ascii="宋体" w:hAnsi="宋体"/>
                <w:szCs w:val="21"/>
                <w:highlight w:val="none"/>
              </w:rPr>
            </w:pPr>
            <w:r>
              <w:rPr>
                <w:rFonts w:hint="eastAsia" w:ascii="宋体" w:hAnsi="宋体"/>
                <w:szCs w:val="21"/>
                <w:highlight w:val="none"/>
              </w:rPr>
              <w:t>履约保证金的形式：支票、汇票、本票、银行保函等非现金的形式。（如为银行保函，出具履约担保的银行必须为中国银行、中国工商银行、中国农业银行、中国建设银行、中国邮政储蓄银行、交通银行或供应商基本账户开户行开具的不可撤销的银行保函）。</w:t>
            </w:r>
          </w:p>
          <w:p>
            <w:pPr>
              <w:spacing w:line="480" w:lineRule="exact"/>
              <w:rPr>
                <w:rFonts w:ascii="宋体"/>
                <w:szCs w:val="21"/>
                <w:highlight w:val="none"/>
              </w:rPr>
            </w:pPr>
            <w:r>
              <w:rPr>
                <w:rFonts w:hint="eastAsia" w:ascii="宋体" w:hAnsi="宋体"/>
                <w:szCs w:val="21"/>
                <w:highlight w:val="none"/>
              </w:rPr>
              <w:t>履约保证金的提交：成交人在合同签订前按照磋商文件要求提交给采购人。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ascii="宋体" w:hAnsi="宋体"/>
                <w:szCs w:val="21"/>
                <w:highlight w:val="none"/>
              </w:rPr>
              <w:t>2</w:t>
            </w:r>
            <w:r>
              <w:rPr>
                <w:rFonts w:hint="eastAsia" w:ascii="宋体" w:hAnsi="宋体"/>
                <w:szCs w:val="21"/>
                <w:highlight w:val="none"/>
              </w:rPr>
              <w:t>0</w:t>
            </w:r>
          </w:p>
        </w:tc>
        <w:tc>
          <w:tcPr>
            <w:tcW w:w="1734" w:type="dxa"/>
            <w:tcBorders>
              <w:top w:val="single" w:color="auto" w:sz="4" w:space="0"/>
              <w:left w:val="single" w:color="auto" w:sz="4" w:space="0"/>
              <w:bottom w:val="single" w:color="auto" w:sz="4" w:space="0"/>
              <w:right w:val="single" w:color="auto" w:sz="4" w:space="0"/>
            </w:tcBorders>
          </w:tcPr>
          <w:p>
            <w:pPr>
              <w:spacing w:line="480" w:lineRule="exact"/>
              <w:jc w:val="center"/>
              <w:rPr>
                <w:rFonts w:ascii="宋体"/>
                <w:szCs w:val="21"/>
                <w:highlight w:val="none"/>
              </w:rPr>
            </w:pPr>
            <w:r>
              <w:rPr>
                <w:rFonts w:hint="eastAsia" w:ascii="宋体" w:hAnsi="宋体"/>
                <w:szCs w:val="21"/>
                <w:highlight w:val="none"/>
              </w:rPr>
              <w:t>服务费</w:t>
            </w:r>
            <w:r>
              <w:rPr>
                <w:rFonts w:ascii="宋体" w:hAnsi="宋体"/>
                <w:szCs w:val="21"/>
                <w:highlight w:val="none"/>
              </w:rPr>
              <w:t>(</w:t>
            </w:r>
            <w:r>
              <w:rPr>
                <w:rFonts w:hint="eastAsia" w:ascii="宋体" w:hAnsi="宋体"/>
                <w:szCs w:val="21"/>
                <w:highlight w:val="none"/>
              </w:rPr>
              <w:t>元</w:t>
            </w:r>
            <w:r>
              <w:rPr>
                <w:rFonts w:ascii="宋体" w:hAnsi="宋体"/>
                <w:szCs w:val="21"/>
                <w:highlight w:val="none"/>
              </w:rPr>
              <w:t>)</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szCs w:val="21"/>
                <w:highlight w:val="none"/>
              </w:rPr>
            </w:pPr>
            <w:r>
              <w:rPr>
                <w:rFonts w:hint="eastAsia" w:ascii="宋体" w:hAnsi="宋体" w:cs="宋体"/>
                <w:szCs w:val="21"/>
                <w:highlight w:val="none"/>
              </w:rPr>
              <w:t>由成交人按照磋商文件要求进行缴纳。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21</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付款方式</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szCs w:val="21"/>
                <w:highlight w:val="none"/>
              </w:rPr>
            </w:pPr>
            <w:r>
              <w:rPr>
                <w:rFonts w:ascii="宋体" w:hAnsi="宋体" w:cs="宋体"/>
                <w:b/>
                <w:szCs w:val="21"/>
                <w:highlight w:val="none"/>
              </w:rPr>
              <w:t>项目验收合格后一次性支付合同价款。签订合同前须缴纳的履约保证金，一年后无质量问题一次性退还（不计息）。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786" w:type="dxa"/>
            <w:tcBorders>
              <w:top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szCs w:val="21"/>
                <w:highlight w:val="none"/>
              </w:rPr>
              <w:t>22</w:t>
            </w:r>
          </w:p>
        </w:tc>
        <w:tc>
          <w:tcPr>
            <w:tcW w:w="1734"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szCs w:val="21"/>
                <w:highlight w:val="none"/>
              </w:rPr>
            </w:pPr>
            <w:r>
              <w:rPr>
                <w:rFonts w:hint="eastAsia" w:ascii="宋体" w:hAnsi="宋体"/>
                <w:szCs w:val="21"/>
                <w:highlight w:val="none"/>
              </w:rPr>
              <w:t>说明</w:t>
            </w:r>
          </w:p>
        </w:tc>
        <w:tc>
          <w:tcPr>
            <w:tcW w:w="6480" w:type="dxa"/>
            <w:tcBorders>
              <w:top w:val="single" w:color="auto" w:sz="4" w:space="0"/>
              <w:left w:val="single" w:color="auto" w:sz="4" w:space="0"/>
              <w:bottom w:val="single" w:color="auto" w:sz="4" w:space="0"/>
            </w:tcBorders>
            <w:vAlign w:val="center"/>
          </w:tcPr>
          <w:p>
            <w:pPr>
              <w:spacing w:line="480" w:lineRule="exact"/>
              <w:rPr>
                <w:rFonts w:ascii="宋体"/>
                <w:szCs w:val="21"/>
                <w:highlight w:val="none"/>
              </w:rPr>
            </w:pPr>
            <w:r>
              <w:rPr>
                <w:rFonts w:hint="eastAsia" w:ascii="宋体" w:hAnsi="宋体"/>
                <w:szCs w:val="21"/>
                <w:highlight w:val="none"/>
              </w:rPr>
              <w:t>本磋商文件的解释权归采购单位。</w:t>
            </w:r>
          </w:p>
        </w:tc>
      </w:tr>
    </w:tbl>
    <w:p>
      <w:pPr>
        <w:rPr>
          <w:rFonts w:ascii="宋体" w:hAnsi="宋体"/>
          <w:kern w:val="0"/>
          <w:highlight w:val="none"/>
          <w:lang w:val="zh-CN"/>
        </w:rPr>
      </w:pPr>
      <w:bookmarkStart w:id="50" w:name="_Toc439316872"/>
    </w:p>
    <w:p>
      <w:pPr>
        <w:pStyle w:val="2"/>
        <w:tabs>
          <w:tab w:val="clear" w:pos="1440"/>
          <w:tab w:val="clear" w:pos="5670"/>
        </w:tabs>
        <w:spacing w:beforeLines="0" w:afterLines="0"/>
        <w:ind w:firstLine="0" w:firstLineChars="0"/>
        <w:jc w:val="center"/>
        <w:rPr>
          <w:rFonts w:ascii="宋体" w:hAnsi="宋体" w:eastAsia="宋体" w:cs="Tahoma"/>
          <w:bCs/>
          <w:kern w:val="0"/>
          <w:sz w:val="32"/>
          <w:szCs w:val="32"/>
          <w:highlight w:val="none"/>
          <w:lang w:val="zh-CN"/>
        </w:rPr>
      </w:pPr>
      <w:bookmarkStart w:id="51" w:name="_Toc20486"/>
      <w:r>
        <w:rPr>
          <w:rFonts w:hint="eastAsia" w:ascii="宋体" w:hAnsi="宋体" w:eastAsia="宋体" w:cs="Tahoma"/>
          <w:bCs/>
          <w:kern w:val="0"/>
          <w:sz w:val="32"/>
          <w:szCs w:val="32"/>
          <w:highlight w:val="none"/>
          <w:lang w:val="zh-CN"/>
        </w:rPr>
        <w:t>第二节</w:t>
      </w:r>
      <w:r>
        <w:rPr>
          <w:rFonts w:ascii="宋体" w:hAnsi="宋体" w:eastAsia="宋体" w:cs="Tahoma"/>
          <w:bCs/>
          <w:kern w:val="0"/>
          <w:sz w:val="32"/>
          <w:szCs w:val="32"/>
          <w:highlight w:val="none"/>
          <w:lang w:val="zh-CN"/>
        </w:rPr>
        <w:t xml:space="preserve"> </w:t>
      </w:r>
      <w:r>
        <w:rPr>
          <w:rFonts w:hint="eastAsia" w:ascii="宋体" w:hAnsi="宋体" w:eastAsia="宋体" w:cs="Tahoma"/>
          <w:bCs/>
          <w:kern w:val="0"/>
          <w:sz w:val="32"/>
          <w:szCs w:val="32"/>
          <w:highlight w:val="none"/>
          <w:lang w:val="zh-CN"/>
        </w:rPr>
        <w:t>竞争性磋商须知</w:t>
      </w:r>
      <w:bookmarkEnd w:id="50"/>
      <w:bookmarkEnd w:id="51"/>
    </w:p>
    <w:p>
      <w:pPr>
        <w:autoSpaceDE w:val="0"/>
        <w:autoSpaceDN w:val="0"/>
        <w:adjustRightInd w:val="0"/>
        <w:snapToGrid w:val="0"/>
        <w:spacing w:line="480" w:lineRule="exact"/>
        <w:ind w:firstLine="420"/>
        <w:outlineLvl w:val="2"/>
        <w:rPr>
          <w:rFonts w:ascii="宋体"/>
          <w:b/>
          <w:bCs/>
          <w:szCs w:val="21"/>
          <w:highlight w:val="none"/>
          <w:lang w:val="zh-CN"/>
        </w:rPr>
      </w:pPr>
      <w:bookmarkStart w:id="52" w:name="_Toc18383"/>
      <w:r>
        <w:rPr>
          <w:rFonts w:hint="eastAsia" w:ascii="宋体" w:hAnsi="宋体"/>
          <w:b/>
          <w:bCs/>
          <w:szCs w:val="21"/>
          <w:highlight w:val="none"/>
          <w:lang w:val="zh-CN"/>
        </w:rPr>
        <w:t>一、总</w:t>
      </w:r>
      <w:r>
        <w:rPr>
          <w:rFonts w:ascii="宋体" w:hAnsi="宋体"/>
          <w:b/>
          <w:bCs/>
          <w:szCs w:val="21"/>
          <w:highlight w:val="none"/>
          <w:lang w:val="zh-CN"/>
        </w:rPr>
        <w:t xml:space="preserve">    </w:t>
      </w:r>
      <w:r>
        <w:rPr>
          <w:rFonts w:hint="eastAsia" w:ascii="宋体" w:hAnsi="宋体"/>
          <w:b/>
          <w:bCs/>
          <w:szCs w:val="21"/>
          <w:highlight w:val="none"/>
          <w:lang w:val="zh-CN"/>
        </w:rPr>
        <w:t>则</w:t>
      </w:r>
      <w:bookmarkEnd w:id="52"/>
    </w:p>
    <w:p>
      <w:pPr>
        <w:spacing w:line="540" w:lineRule="exact"/>
        <w:ind w:firstLine="420" w:firstLineChars="200"/>
        <w:rPr>
          <w:rFonts w:ascii="宋体" w:hAnsi="宋体"/>
          <w:szCs w:val="21"/>
          <w:highlight w:val="none"/>
          <w:lang w:val="zh-CN"/>
        </w:rPr>
      </w:pPr>
      <w:bookmarkStart w:id="53" w:name="_Toc10523"/>
      <w:bookmarkStart w:id="54" w:name="_Toc21078"/>
      <w:bookmarkStart w:id="55" w:name="_Toc439316919"/>
      <w:bookmarkStart w:id="56" w:name="_Toc15055"/>
      <w:bookmarkStart w:id="57" w:name="_Toc25270"/>
      <w:bookmarkStart w:id="58" w:name="_Toc7325"/>
      <w:bookmarkStart w:id="59" w:name="_Toc439316873"/>
      <w:r>
        <w:rPr>
          <w:rFonts w:ascii="宋体" w:hAnsi="宋体"/>
          <w:szCs w:val="21"/>
          <w:highlight w:val="none"/>
          <w:lang w:val="zh-CN"/>
        </w:rPr>
        <w:t>1</w:t>
      </w:r>
      <w:r>
        <w:rPr>
          <w:rFonts w:hint="eastAsia" w:ascii="宋体" w:hAnsi="宋体"/>
          <w:szCs w:val="21"/>
          <w:highlight w:val="none"/>
          <w:lang w:val="zh-CN"/>
        </w:rPr>
        <w:t>、适用法律</w:t>
      </w:r>
      <w:bookmarkEnd w:id="53"/>
      <w:bookmarkEnd w:id="54"/>
      <w:bookmarkEnd w:id="55"/>
      <w:bookmarkEnd w:id="56"/>
      <w:bookmarkEnd w:id="57"/>
      <w:bookmarkEnd w:id="58"/>
      <w:bookmarkEnd w:id="59"/>
    </w:p>
    <w:p>
      <w:pPr>
        <w:spacing w:line="540" w:lineRule="exact"/>
        <w:ind w:firstLine="420" w:firstLineChars="200"/>
        <w:rPr>
          <w:rFonts w:ascii="宋体" w:hAnsi="宋体"/>
          <w:szCs w:val="21"/>
          <w:highlight w:val="none"/>
          <w:lang w:val="zh-CN"/>
        </w:rPr>
      </w:pPr>
      <w:r>
        <w:rPr>
          <w:rFonts w:ascii="宋体" w:hAnsi="宋体"/>
          <w:szCs w:val="21"/>
          <w:highlight w:val="none"/>
          <w:lang w:val="zh-CN"/>
        </w:rPr>
        <w:t xml:space="preserve">1.1 </w:t>
      </w:r>
      <w:r>
        <w:rPr>
          <w:rFonts w:hint="eastAsia" w:ascii="宋体" w:hAnsi="宋体"/>
          <w:szCs w:val="21"/>
          <w:highlight w:val="none"/>
          <w:lang w:val="zh-CN"/>
        </w:rPr>
        <w:t>依据《</w:t>
      </w:r>
      <w:r>
        <w:rPr>
          <w:rFonts w:hint="eastAsia" w:ascii="宋体" w:hAnsi="宋体"/>
          <w:szCs w:val="21"/>
          <w:highlight w:val="none"/>
        </w:rPr>
        <w:t>政府采购竞争性磋商采购方式管理暂行办法</w:t>
      </w:r>
      <w:r>
        <w:rPr>
          <w:rFonts w:hint="eastAsia" w:ascii="宋体" w:hAnsi="宋体"/>
          <w:szCs w:val="21"/>
          <w:highlight w:val="none"/>
          <w:lang w:val="zh-CN"/>
        </w:rPr>
        <w:t>》并参照《中华人民共和国政府采购法》、《中华人民共和国政府采购法实施条例》等有关法律、规章和规定等。</w:t>
      </w:r>
    </w:p>
    <w:p>
      <w:pPr>
        <w:spacing w:line="540" w:lineRule="exact"/>
        <w:ind w:firstLine="420" w:firstLineChars="200"/>
        <w:rPr>
          <w:rFonts w:ascii="宋体" w:hAnsi="宋体"/>
          <w:szCs w:val="21"/>
          <w:highlight w:val="none"/>
          <w:lang w:val="zh-CN"/>
        </w:rPr>
      </w:pPr>
      <w:bookmarkStart w:id="60" w:name="_Toc27113"/>
      <w:bookmarkStart w:id="61" w:name="_Toc1704"/>
      <w:bookmarkStart w:id="62" w:name="_Toc10933"/>
      <w:bookmarkStart w:id="63" w:name="_Toc439316920"/>
      <w:bookmarkStart w:id="64" w:name="_Toc24643"/>
      <w:bookmarkStart w:id="65" w:name="_Toc439316874"/>
      <w:bookmarkStart w:id="66" w:name="_Toc8228"/>
      <w:r>
        <w:rPr>
          <w:rFonts w:ascii="宋体" w:hAnsi="宋体"/>
          <w:szCs w:val="21"/>
          <w:highlight w:val="none"/>
          <w:lang w:val="zh-CN"/>
        </w:rPr>
        <w:t>2</w:t>
      </w:r>
      <w:r>
        <w:rPr>
          <w:rFonts w:hint="eastAsia" w:ascii="宋体" w:hAnsi="宋体"/>
          <w:szCs w:val="21"/>
          <w:highlight w:val="none"/>
          <w:lang w:val="zh-CN"/>
        </w:rPr>
        <w:t>、定义</w:t>
      </w:r>
      <w:bookmarkEnd w:id="60"/>
      <w:bookmarkEnd w:id="61"/>
      <w:bookmarkEnd w:id="62"/>
      <w:bookmarkEnd w:id="63"/>
      <w:bookmarkEnd w:id="64"/>
      <w:bookmarkEnd w:id="65"/>
      <w:bookmarkEnd w:id="66"/>
    </w:p>
    <w:p>
      <w:pPr>
        <w:spacing w:line="540" w:lineRule="exact"/>
        <w:ind w:firstLine="420" w:firstLineChars="200"/>
        <w:rPr>
          <w:rFonts w:ascii="宋体" w:hAnsi="宋体"/>
          <w:szCs w:val="21"/>
          <w:highlight w:val="none"/>
        </w:rPr>
      </w:pPr>
      <w:r>
        <w:rPr>
          <w:rFonts w:ascii="宋体" w:hAnsi="宋体"/>
          <w:szCs w:val="21"/>
          <w:highlight w:val="none"/>
        </w:rPr>
        <w:t>2.1</w:t>
      </w:r>
      <w:r>
        <w:rPr>
          <w:rFonts w:hint="eastAsia" w:ascii="宋体" w:hAnsi="宋体"/>
          <w:szCs w:val="21"/>
          <w:highlight w:val="none"/>
        </w:rPr>
        <w:t>、采购单位是指采购人和采购代理机构。</w:t>
      </w:r>
    </w:p>
    <w:p>
      <w:pPr>
        <w:spacing w:line="540" w:lineRule="exact"/>
        <w:ind w:firstLine="420" w:firstLineChars="200"/>
        <w:rPr>
          <w:rFonts w:ascii="宋体" w:hAnsi="宋体"/>
          <w:szCs w:val="21"/>
          <w:highlight w:val="none"/>
        </w:rPr>
      </w:pPr>
      <w:r>
        <w:rPr>
          <w:rFonts w:ascii="宋体" w:hAnsi="宋体"/>
          <w:szCs w:val="21"/>
          <w:highlight w:val="none"/>
        </w:rPr>
        <w:t>2.2</w:t>
      </w:r>
      <w:r>
        <w:rPr>
          <w:rFonts w:hint="eastAsia" w:ascii="宋体" w:hAnsi="宋体"/>
          <w:szCs w:val="21"/>
          <w:highlight w:val="none"/>
        </w:rPr>
        <w:t>、供应商是指对“磋商须知前附表”序号</w:t>
      </w:r>
      <w:r>
        <w:rPr>
          <w:rFonts w:ascii="宋体" w:hAnsi="宋体"/>
          <w:szCs w:val="21"/>
          <w:highlight w:val="none"/>
        </w:rPr>
        <w:t>2</w:t>
      </w:r>
      <w:r>
        <w:rPr>
          <w:rFonts w:hint="eastAsia" w:ascii="宋体" w:hAnsi="宋体"/>
          <w:szCs w:val="21"/>
          <w:highlight w:val="none"/>
        </w:rPr>
        <w:t>所指的项目表现出兴趣，按照约定的程序，从采购单位获取了磋商文件，并实际参与了该项目磋商活动的供应商。</w:t>
      </w:r>
    </w:p>
    <w:p>
      <w:pPr>
        <w:spacing w:line="540" w:lineRule="exact"/>
        <w:ind w:firstLine="420" w:firstLineChars="200"/>
        <w:rPr>
          <w:rFonts w:ascii="宋体" w:hAnsi="宋体"/>
          <w:szCs w:val="21"/>
          <w:highlight w:val="none"/>
        </w:rPr>
      </w:pPr>
      <w:r>
        <w:rPr>
          <w:rFonts w:ascii="宋体" w:hAnsi="宋体"/>
          <w:szCs w:val="21"/>
          <w:highlight w:val="none"/>
        </w:rPr>
        <w:t>3</w:t>
      </w:r>
      <w:r>
        <w:rPr>
          <w:rFonts w:hint="eastAsia" w:ascii="宋体" w:hAnsi="宋体"/>
          <w:szCs w:val="21"/>
          <w:highlight w:val="none"/>
        </w:rPr>
        <w:t>、供应商资格要求</w:t>
      </w:r>
    </w:p>
    <w:p>
      <w:pPr>
        <w:spacing w:line="540" w:lineRule="exact"/>
        <w:ind w:firstLine="420" w:firstLineChars="200"/>
        <w:rPr>
          <w:rFonts w:ascii="宋体" w:hAnsi="宋体"/>
          <w:szCs w:val="21"/>
          <w:highlight w:val="none"/>
        </w:rPr>
      </w:pPr>
      <w:r>
        <w:rPr>
          <w:rFonts w:ascii="宋体" w:hAnsi="宋体"/>
          <w:szCs w:val="21"/>
          <w:highlight w:val="none"/>
        </w:rPr>
        <w:t>3.1</w:t>
      </w:r>
      <w:r>
        <w:rPr>
          <w:rFonts w:hint="eastAsia" w:ascii="宋体" w:hAnsi="宋体"/>
          <w:szCs w:val="21"/>
          <w:highlight w:val="none"/>
        </w:rPr>
        <w:t>、参与本项目的供应商必须满足以下要求：见磋商须知前附表。</w:t>
      </w:r>
      <w:r>
        <w:rPr>
          <w:rFonts w:ascii="宋体" w:hAnsi="宋体"/>
          <w:szCs w:val="21"/>
          <w:highlight w:val="none"/>
        </w:rPr>
        <w:t xml:space="preserve"> </w:t>
      </w:r>
    </w:p>
    <w:p>
      <w:pPr>
        <w:spacing w:line="540" w:lineRule="exact"/>
        <w:ind w:firstLine="420" w:firstLineChars="200"/>
        <w:rPr>
          <w:rFonts w:ascii="宋体" w:hAnsi="宋体"/>
          <w:szCs w:val="21"/>
          <w:highlight w:val="none"/>
        </w:rPr>
      </w:pPr>
      <w:r>
        <w:rPr>
          <w:rFonts w:ascii="宋体" w:hAnsi="宋体"/>
          <w:szCs w:val="21"/>
          <w:highlight w:val="none"/>
        </w:rPr>
        <w:t>3.2</w:t>
      </w:r>
      <w:r>
        <w:rPr>
          <w:rFonts w:hint="eastAsia" w:ascii="宋体" w:hAnsi="宋体"/>
          <w:szCs w:val="21"/>
          <w:highlight w:val="none"/>
        </w:rPr>
        <w:t>、供应商之间如果存在下列情形之一的，不得同时参加同一包别或者不分包别的同一项目磋商：</w:t>
      </w:r>
    </w:p>
    <w:p>
      <w:pPr>
        <w:spacing w:line="540" w:lineRule="exact"/>
        <w:ind w:firstLine="420" w:firstLineChars="200"/>
        <w:rPr>
          <w:rFonts w:ascii="宋体" w:hAnsi="宋体"/>
          <w:szCs w:val="21"/>
          <w:highlight w:val="none"/>
        </w:rPr>
      </w:pPr>
      <w:r>
        <w:rPr>
          <w:rFonts w:hint="eastAsia" w:ascii="宋体" w:hAnsi="宋体"/>
          <w:szCs w:val="21"/>
          <w:highlight w:val="none"/>
        </w:rPr>
        <w:t>（1）单位负责人为同一人或者存在直接控股、管理关系的不同供应商；</w:t>
      </w:r>
    </w:p>
    <w:p>
      <w:pPr>
        <w:spacing w:line="540" w:lineRule="exact"/>
        <w:ind w:firstLine="420" w:firstLineChars="200"/>
        <w:rPr>
          <w:rFonts w:ascii="宋体" w:hAnsi="宋体"/>
          <w:szCs w:val="21"/>
          <w:highlight w:val="none"/>
        </w:rPr>
      </w:pPr>
      <w:r>
        <w:rPr>
          <w:rFonts w:hint="eastAsia" w:ascii="宋体" w:hAnsi="宋体"/>
          <w:szCs w:val="21"/>
          <w:highlight w:val="none"/>
        </w:rPr>
        <w:t>（2）除单一来源采购项目外，为采购项目提供整体设计、规范编制或者项目管理、监理、检测等服务的供应商。</w:t>
      </w:r>
    </w:p>
    <w:p>
      <w:pPr>
        <w:spacing w:line="540" w:lineRule="exact"/>
        <w:ind w:firstLine="420" w:firstLineChars="200"/>
        <w:rPr>
          <w:rFonts w:ascii="宋体" w:hAnsi="宋体"/>
          <w:szCs w:val="21"/>
          <w:highlight w:val="none"/>
        </w:rPr>
      </w:pPr>
      <w:r>
        <w:rPr>
          <w:rFonts w:hint="eastAsia" w:ascii="宋体" w:hAnsi="宋体"/>
          <w:szCs w:val="21"/>
          <w:highlight w:val="none"/>
        </w:rPr>
        <w:t>3</w:t>
      </w:r>
      <w:r>
        <w:rPr>
          <w:rFonts w:ascii="宋体" w:hAnsi="宋体"/>
          <w:szCs w:val="21"/>
          <w:highlight w:val="none"/>
        </w:rPr>
        <w:t>.3</w:t>
      </w:r>
      <w:r>
        <w:rPr>
          <w:rFonts w:hint="eastAsia" w:ascii="宋体" w:hAnsi="宋体"/>
          <w:szCs w:val="21"/>
          <w:highlight w:val="none"/>
        </w:rPr>
        <w:t>、银行、保险、石油化工、电力、电信等特殊行业的分公司参与磋商，须取得总公司的相关授权（磋商响应文件中须提供）；银行、保险、石油化工、电力、电信等特殊行业的分公司取得总公司相关授权后，磋商文件中关于法定代表人的要求事项可由分公司负责人代理。</w:t>
      </w:r>
    </w:p>
    <w:p>
      <w:pPr>
        <w:spacing w:line="540" w:lineRule="exact"/>
        <w:ind w:firstLine="420" w:firstLineChars="200"/>
        <w:rPr>
          <w:rFonts w:ascii="宋体" w:hAnsi="宋体"/>
          <w:szCs w:val="21"/>
          <w:highlight w:val="none"/>
        </w:rPr>
      </w:pPr>
      <w:r>
        <w:rPr>
          <w:rFonts w:ascii="宋体" w:hAnsi="宋体"/>
          <w:szCs w:val="21"/>
          <w:highlight w:val="none"/>
        </w:rPr>
        <w:t>3.</w:t>
      </w:r>
      <w:r>
        <w:rPr>
          <w:rFonts w:hint="eastAsia" w:ascii="宋体" w:hAnsi="宋体"/>
          <w:szCs w:val="21"/>
          <w:highlight w:val="none"/>
        </w:rPr>
        <w:t>4、供应商必须确保自己信息真实、准确，否则，供应商因此蒙受损失，采购单位概不负责。</w:t>
      </w:r>
    </w:p>
    <w:p>
      <w:pPr>
        <w:spacing w:line="540" w:lineRule="exact"/>
        <w:ind w:firstLine="420" w:firstLineChars="200"/>
        <w:rPr>
          <w:rFonts w:ascii="宋体" w:hAnsi="宋体"/>
          <w:szCs w:val="21"/>
          <w:highlight w:val="none"/>
        </w:rPr>
      </w:pPr>
      <w:r>
        <w:rPr>
          <w:rFonts w:ascii="宋体" w:hAnsi="宋体"/>
          <w:szCs w:val="21"/>
          <w:highlight w:val="none"/>
        </w:rPr>
        <w:t>4</w:t>
      </w:r>
      <w:r>
        <w:rPr>
          <w:rFonts w:hint="eastAsia" w:ascii="宋体" w:hAnsi="宋体"/>
          <w:szCs w:val="21"/>
          <w:highlight w:val="none"/>
        </w:rPr>
        <w:t>、</w:t>
      </w:r>
      <w:r>
        <w:rPr>
          <w:rFonts w:hint="eastAsia" w:ascii="宋体" w:hAnsi="宋体"/>
          <w:b/>
          <w:bCs/>
          <w:szCs w:val="21"/>
          <w:highlight w:val="none"/>
        </w:rPr>
        <w:t>踏勘现场</w:t>
      </w:r>
      <w:r>
        <w:rPr>
          <w:rFonts w:hint="eastAsia" w:ascii="宋体" w:hAnsi="宋体"/>
          <w:szCs w:val="21"/>
          <w:highlight w:val="none"/>
        </w:rPr>
        <w:t>：供应商自行踏勘现场。供应商应认真对现场环境进行踏勘，对项目环境和影响等素，做出理性的判断和估价。成交后签订合同时和提供服务过程中，供应商不得以不完全了解或不了解现场情况为由，提出任何形式的增加费用或索赔的要求。</w:t>
      </w:r>
    </w:p>
    <w:p>
      <w:pPr>
        <w:spacing w:line="540" w:lineRule="exact"/>
        <w:ind w:firstLine="420" w:firstLineChars="200"/>
        <w:rPr>
          <w:rFonts w:ascii="宋体" w:hAnsi="宋体"/>
          <w:szCs w:val="21"/>
          <w:highlight w:val="none"/>
          <w:lang w:val="zh-CN"/>
        </w:rPr>
      </w:pPr>
      <w:r>
        <w:rPr>
          <w:rFonts w:ascii="宋体" w:hAnsi="宋体"/>
          <w:szCs w:val="21"/>
          <w:highlight w:val="none"/>
          <w:lang w:val="zh-CN"/>
        </w:rPr>
        <w:t>5</w:t>
      </w:r>
      <w:r>
        <w:rPr>
          <w:rFonts w:hint="eastAsia" w:ascii="宋体" w:hAnsi="宋体"/>
          <w:szCs w:val="21"/>
          <w:highlight w:val="none"/>
          <w:lang w:val="zh-CN"/>
        </w:rPr>
        <w:t>、联合体磋商：</w:t>
      </w:r>
    </w:p>
    <w:p>
      <w:pPr>
        <w:spacing w:line="540" w:lineRule="exact"/>
        <w:ind w:firstLine="420" w:firstLineChars="200"/>
        <w:rPr>
          <w:rFonts w:ascii="宋体" w:hAnsi="宋体"/>
          <w:szCs w:val="21"/>
          <w:highlight w:val="none"/>
        </w:rPr>
      </w:pPr>
      <w:r>
        <w:rPr>
          <w:rFonts w:hint="eastAsia" w:ascii="宋体" w:hAnsi="宋体"/>
          <w:szCs w:val="21"/>
          <w:highlight w:val="none"/>
        </w:rPr>
        <w:t>5.1、除非本项目明确要求不接受联合体形式响应外，两个或两个以上供应商可以组成一个联合体，以一个供应商的身份响应。</w:t>
      </w:r>
    </w:p>
    <w:p>
      <w:pPr>
        <w:spacing w:line="540" w:lineRule="exact"/>
        <w:ind w:firstLine="420" w:firstLineChars="200"/>
        <w:rPr>
          <w:rFonts w:ascii="宋体" w:hAnsi="宋体"/>
          <w:szCs w:val="21"/>
          <w:highlight w:val="none"/>
        </w:rPr>
      </w:pPr>
      <w:r>
        <w:rPr>
          <w:rFonts w:hint="eastAsia" w:ascii="宋体" w:hAnsi="宋体"/>
          <w:szCs w:val="21"/>
          <w:highlight w:val="none"/>
        </w:rPr>
        <w:t>5.2、以联合体形式参加响应的，联合体各方均应当符合《政府采购法》第二十二条第一款规定的条件，根据采购项目的特殊要求规定供应商特定条件的，联合体各方中至少应当有一方符合。</w:t>
      </w:r>
    </w:p>
    <w:p>
      <w:pPr>
        <w:spacing w:line="540" w:lineRule="exact"/>
        <w:ind w:firstLine="420" w:firstLineChars="200"/>
        <w:rPr>
          <w:rFonts w:ascii="宋体" w:hAnsi="宋体"/>
          <w:szCs w:val="21"/>
          <w:highlight w:val="none"/>
        </w:rPr>
      </w:pPr>
      <w:r>
        <w:rPr>
          <w:rFonts w:hint="eastAsia" w:ascii="宋体" w:hAnsi="宋体"/>
          <w:szCs w:val="21"/>
          <w:highlight w:val="none"/>
        </w:rPr>
        <w:t>5.3、联合体各方之间应当签订联合体协议，明确约定联合体各方应当承担的工作和相应的责任，并将联合体协议连同磋商响应文件一并提交采购单位。由同一专业的单位组成的联合体，按照同一资质等级较低的单位确定资质等级。联合体各方签订联合体协议后，不得再以自己的名义单独在同一项目中磋商响应，也不得组成新的联合体参加同一项目磋商响应。</w:t>
      </w:r>
    </w:p>
    <w:p>
      <w:pPr>
        <w:spacing w:line="540" w:lineRule="exact"/>
        <w:ind w:firstLine="420" w:firstLineChars="200"/>
        <w:rPr>
          <w:rFonts w:ascii="宋体" w:hAnsi="宋体"/>
          <w:szCs w:val="21"/>
          <w:highlight w:val="none"/>
          <w:lang w:val="zh-CN"/>
        </w:rPr>
      </w:pPr>
      <w:bookmarkStart w:id="67" w:name="_Toc439316875"/>
      <w:bookmarkStart w:id="68" w:name="_Toc439316921"/>
      <w:r>
        <w:rPr>
          <w:rFonts w:ascii="宋体" w:hAnsi="宋体"/>
          <w:szCs w:val="21"/>
          <w:highlight w:val="none"/>
        </w:rPr>
        <w:t>6</w:t>
      </w:r>
      <w:r>
        <w:rPr>
          <w:rFonts w:hint="eastAsia" w:ascii="宋体" w:hAnsi="宋体"/>
          <w:szCs w:val="21"/>
          <w:highlight w:val="none"/>
        </w:rPr>
        <w:t>、</w:t>
      </w:r>
      <w:r>
        <w:rPr>
          <w:rFonts w:hint="eastAsia" w:ascii="宋体" w:hAnsi="宋体"/>
          <w:szCs w:val="21"/>
          <w:highlight w:val="none"/>
          <w:lang w:val="zh-CN"/>
        </w:rPr>
        <w:t>磋商费用：供应商必须自行承担参加磋商所有费用，无论成交与否，采购单位在任何情况下均无义务和责任承担这些费用。</w:t>
      </w:r>
      <w:bookmarkEnd w:id="67"/>
      <w:bookmarkEnd w:id="68"/>
    </w:p>
    <w:p>
      <w:pPr>
        <w:autoSpaceDE w:val="0"/>
        <w:autoSpaceDN w:val="0"/>
        <w:adjustRightInd w:val="0"/>
        <w:snapToGrid w:val="0"/>
        <w:spacing w:line="480" w:lineRule="exact"/>
        <w:ind w:firstLine="420"/>
        <w:outlineLvl w:val="2"/>
        <w:rPr>
          <w:rFonts w:ascii="宋体"/>
          <w:b/>
          <w:bCs/>
          <w:szCs w:val="21"/>
          <w:highlight w:val="none"/>
          <w:lang w:val="zh-CN"/>
        </w:rPr>
      </w:pPr>
      <w:bookmarkStart w:id="69" w:name="_Toc12803"/>
      <w:r>
        <w:rPr>
          <w:rFonts w:hint="eastAsia" w:ascii="宋体" w:hAnsi="宋体"/>
          <w:b/>
          <w:bCs/>
          <w:szCs w:val="21"/>
          <w:highlight w:val="none"/>
          <w:lang w:val="zh-CN"/>
        </w:rPr>
        <w:t>二、磋商文件</w:t>
      </w:r>
      <w:bookmarkEnd w:id="69"/>
    </w:p>
    <w:p>
      <w:pPr>
        <w:spacing w:line="480" w:lineRule="exact"/>
        <w:ind w:firstLine="422" w:firstLineChars="200"/>
        <w:rPr>
          <w:rFonts w:ascii="宋体"/>
          <w:b/>
          <w:szCs w:val="21"/>
          <w:highlight w:val="none"/>
        </w:rPr>
      </w:pPr>
      <w:r>
        <w:rPr>
          <w:rFonts w:ascii="宋体" w:hAnsi="宋体"/>
          <w:b/>
          <w:szCs w:val="21"/>
          <w:highlight w:val="none"/>
        </w:rPr>
        <w:t>7</w:t>
      </w:r>
      <w:r>
        <w:rPr>
          <w:rFonts w:hint="eastAsia" w:ascii="宋体" w:hAnsi="宋体"/>
          <w:b/>
          <w:szCs w:val="21"/>
          <w:highlight w:val="none"/>
        </w:rPr>
        <w:t>、磋商文件的构成</w:t>
      </w:r>
    </w:p>
    <w:p>
      <w:pPr>
        <w:spacing w:line="540" w:lineRule="exact"/>
        <w:ind w:firstLine="420" w:firstLineChars="200"/>
        <w:rPr>
          <w:rFonts w:ascii="宋体"/>
          <w:szCs w:val="21"/>
          <w:highlight w:val="none"/>
        </w:rPr>
      </w:pPr>
      <w:r>
        <w:rPr>
          <w:rFonts w:ascii="宋体" w:hAnsi="宋体"/>
          <w:szCs w:val="21"/>
          <w:highlight w:val="none"/>
        </w:rPr>
        <w:t>7.1</w:t>
      </w:r>
      <w:r>
        <w:rPr>
          <w:rFonts w:hint="eastAsia" w:ascii="宋体" w:hAnsi="宋体"/>
          <w:szCs w:val="21"/>
          <w:highlight w:val="none"/>
        </w:rPr>
        <w:t>、磋商文件包括：</w:t>
      </w:r>
    </w:p>
    <w:p>
      <w:pPr>
        <w:spacing w:line="540" w:lineRule="exact"/>
        <w:ind w:firstLine="420" w:firstLineChars="200"/>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）第一章</w:t>
      </w:r>
      <w:r>
        <w:rPr>
          <w:rFonts w:ascii="宋体" w:hAnsi="宋体"/>
          <w:szCs w:val="21"/>
          <w:highlight w:val="none"/>
        </w:rPr>
        <w:t xml:space="preserve">  </w:t>
      </w:r>
      <w:r>
        <w:rPr>
          <w:rFonts w:hint="eastAsia" w:ascii="宋体" w:hAnsi="宋体"/>
          <w:szCs w:val="21"/>
          <w:highlight w:val="none"/>
        </w:rPr>
        <w:t>竞争性磋商公告；</w:t>
      </w:r>
    </w:p>
    <w:p>
      <w:pPr>
        <w:spacing w:line="540" w:lineRule="exact"/>
        <w:ind w:firstLine="420" w:firstLineChars="200"/>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）第二章</w:t>
      </w:r>
      <w:r>
        <w:rPr>
          <w:rFonts w:ascii="宋体" w:hAnsi="宋体"/>
          <w:szCs w:val="21"/>
          <w:highlight w:val="none"/>
        </w:rPr>
        <w:t xml:space="preserve">  </w:t>
      </w:r>
      <w:r>
        <w:rPr>
          <w:rFonts w:hint="eastAsia" w:ascii="宋体" w:hAnsi="宋体"/>
          <w:szCs w:val="21"/>
          <w:highlight w:val="none"/>
        </w:rPr>
        <w:t>磋商须知；</w:t>
      </w:r>
    </w:p>
    <w:p>
      <w:pPr>
        <w:spacing w:line="540" w:lineRule="exact"/>
        <w:ind w:firstLine="420" w:firstLineChars="200"/>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）第三章</w:t>
      </w:r>
      <w:r>
        <w:rPr>
          <w:rFonts w:ascii="宋体" w:hAnsi="宋体"/>
          <w:szCs w:val="21"/>
          <w:highlight w:val="none"/>
        </w:rPr>
        <w:t xml:space="preserve">  </w:t>
      </w:r>
      <w:r>
        <w:rPr>
          <w:rFonts w:hint="eastAsia" w:ascii="宋体" w:hAnsi="宋体"/>
          <w:szCs w:val="21"/>
          <w:highlight w:val="none"/>
        </w:rPr>
        <w:t>服务需求及技术要求；</w:t>
      </w:r>
    </w:p>
    <w:p>
      <w:pPr>
        <w:spacing w:line="540" w:lineRule="exact"/>
        <w:ind w:firstLine="420" w:firstLineChars="200"/>
        <w:rPr>
          <w:rFonts w:asci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）第四章</w:t>
      </w:r>
      <w:r>
        <w:rPr>
          <w:rFonts w:ascii="宋体" w:hAnsi="宋体"/>
          <w:szCs w:val="21"/>
          <w:highlight w:val="none"/>
        </w:rPr>
        <w:t xml:space="preserve">  </w:t>
      </w:r>
      <w:r>
        <w:rPr>
          <w:rFonts w:hint="eastAsia" w:ascii="宋体" w:hAnsi="宋体"/>
          <w:szCs w:val="21"/>
          <w:highlight w:val="none"/>
        </w:rPr>
        <w:t>合同主要条款；</w:t>
      </w:r>
    </w:p>
    <w:p>
      <w:pPr>
        <w:spacing w:line="540" w:lineRule="exact"/>
        <w:ind w:firstLine="420" w:firstLineChars="200"/>
        <w:rPr>
          <w:rFonts w:ascii="宋体"/>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）第五章</w:t>
      </w:r>
      <w:r>
        <w:rPr>
          <w:rFonts w:ascii="宋体" w:hAnsi="宋体"/>
          <w:szCs w:val="21"/>
          <w:highlight w:val="none"/>
        </w:rPr>
        <w:t xml:space="preserve">  </w:t>
      </w:r>
      <w:r>
        <w:rPr>
          <w:rFonts w:hint="eastAsia"/>
          <w:szCs w:val="21"/>
          <w:highlight w:val="none"/>
        </w:rPr>
        <w:t>响应文件格式</w:t>
      </w:r>
    </w:p>
    <w:p>
      <w:pPr>
        <w:spacing w:line="540" w:lineRule="exact"/>
        <w:ind w:firstLine="420" w:firstLineChars="200"/>
        <w:rPr>
          <w:rFonts w:ascii="宋体"/>
          <w:szCs w:val="21"/>
          <w:highlight w:val="none"/>
        </w:rPr>
      </w:pPr>
      <w:r>
        <w:rPr>
          <w:rFonts w:ascii="宋体" w:hAnsi="宋体"/>
          <w:szCs w:val="21"/>
          <w:highlight w:val="none"/>
        </w:rPr>
        <w:t>7.2</w:t>
      </w:r>
      <w:r>
        <w:rPr>
          <w:rFonts w:hint="eastAsia" w:ascii="宋体" w:hAnsi="宋体"/>
          <w:szCs w:val="21"/>
          <w:highlight w:val="none"/>
        </w:rPr>
        <w:t>、供应商应认真阅读和充分理解磋商文件中所有的内容。如果供应商没有满足磋商文件的有关要求，其风险由供应商自行承担。</w:t>
      </w:r>
    </w:p>
    <w:p>
      <w:pPr>
        <w:spacing w:line="540" w:lineRule="exact"/>
        <w:ind w:firstLine="420" w:firstLineChars="200"/>
        <w:rPr>
          <w:rFonts w:ascii="宋体"/>
          <w:szCs w:val="21"/>
          <w:highlight w:val="none"/>
        </w:rPr>
      </w:pPr>
      <w:r>
        <w:rPr>
          <w:rFonts w:ascii="宋体" w:hAnsi="宋体"/>
          <w:szCs w:val="21"/>
          <w:highlight w:val="none"/>
        </w:rPr>
        <w:t>7.3</w:t>
      </w:r>
      <w:r>
        <w:rPr>
          <w:rFonts w:hint="eastAsia" w:ascii="宋体" w:hAnsi="宋体"/>
          <w:szCs w:val="21"/>
          <w:highlight w:val="none"/>
        </w:rPr>
        <w:t>、供应商获取磋商文件后，应仔细检查磋商文件的所有内容，如有残缺、</w:t>
      </w:r>
      <w:r>
        <w:rPr>
          <w:rFonts w:hint="eastAsia" w:ascii="宋体" w:hAnsi="宋体" w:cs="宋体"/>
          <w:szCs w:val="21"/>
          <w:highlight w:val="none"/>
        </w:rPr>
        <w:t>文本不清晰、</w:t>
      </w:r>
      <w:r>
        <w:rPr>
          <w:rFonts w:hint="eastAsia" w:ascii="宋体" w:hAnsi="宋体"/>
          <w:szCs w:val="21"/>
          <w:highlight w:val="none"/>
        </w:rPr>
        <w:t>表述不一致等问题应在获得磋商文件</w:t>
      </w:r>
      <w:r>
        <w:rPr>
          <w:rFonts w:ascii="宋体" w:hAnsi="宋体"/>
          <w:szCs w:val="21"/>
          <w:highlight w:val="none"/>
        </w:rPr>
        <w:t xml:space="preserve"> 3 </w:t>
      </w:r>
      <w:r>
        <w:rPr>
          <w:rFonts w:hint="eastAsia" w:ascii="宋体" w:hAnsi="宋体"/>
          <w:szCs w:val="21"/>
          <w:highlight w:val="none"/>
        </w:rPr>
        <w:t>日内向采购单位提出</w:t>
      </w:r>
      <w:r>
        <w:rPr>
          <w:rFonts w:hint="eastAsia" w:ascii="宋体" w:hAnsi="宋体" w:cs="宋体"/>
          <w:szCs w:val="21"/>
          <w:highlight w:val="none"/>
        </w:rPr>
        <w:t>并将问题发送至邮箱1165121299@qq.com</w:t>
      </w:r>
      <w:r>
        <w:rPr>
          <w:rFonts w:hint="eastAsia" w:ascii="宋体" w:hAnsi="宋体"/>
          <w:szCs w:val="21"/>
          <w:highlight w:val="none"/>
        </w:rPr>
        <w:t>，否则，由此引起的损失由供应商自己承担。供应商同时应认真审阅磋商文件中所有的事项、格式、条款和规范要求等，若供应商的响应文件没有按磋商文件要求提交全部资料及自己理解产生的误差，或响应文件没有对磋商文件做出实质性响应，其风险由供应商自行承担，并根据有关条款约定，该响应有可能被拒绝。</w:t>
      </w:r>
    </w:p>
    <w:p>
      <w:pPr>
        <w:spacing w:line="360" w:lineRule="auto"/>
        <w:ind w:firstLine="422" w:firstLineChars="200"/>
        <w:rPr>
          <w:rFonts w:ascii="宋体"/>
          <w:b/>
          <w:szCs w:val="21"/>
          <w:highlight w:val="none"/>
        </w:rPr>
      </w:pPr>
      <w:r>
        <w:rPr>
          <w:rFonts w:ascii="宋体" w:hAnsi="宋体"/>
          <w:b/>
          <w:szCs w:val="21"/>
          <w:highlight w:val="none"/>
        </w:rPr>
        <w:t>8</w:t>
      </w:r>
      <w:r>
        <w:rPr>
          <w:rFonts w:hint="eastAsia" w:ascii="宋体" w:hAnsi="宋体"/>
          <w:b/>
          <w:szCs w:val="21"/>
          <w:highlight w:val="none"/>
        </w:rPr>
        <w:t>、磋商文件的澄清</w:t>
      </w:r>
    </w:p>
    <w:p>
      <w:pPr>
        <w:spacing w:line="540" w:lineRule="exact"/>
        <w:ind w:firstLine="420" w:firstLineChars="200"/>
        <w:rPr>
          <w:rFonts w:ascii="宋体"/>
          <w:szCs w:val="21"/>
          <w:highlight w:val="none"/>
        </w:rPr>
      </w:pPr>
      <w:r>
        <w:rPr>
          <w:rFonts w:ascii="宋体" w:hAnsi="宋体"/>
          <w:szCs w:val="21"/>
          <w:highlight w:val="none"/>
        </w:rPr>
        <w:t>8.1</w:t>
      </w:r>
      <w:r>
        <w:rPr>
          <w:rFonts w:hint="eastAsia" w:ascii="宋体" w:hAnsi="宋体"/>
          <w:szCs w:val="21"/>
          <w:highlight w:val="none"/>
        </w:rPr>
        <w:t>、供应商可以要求采购单位对磋商文件中的有关问题进行答疑或澄清。</w:t>
      </w:r>
    </w:p>
    <w:p>
      <w:pPr>
        <w:spacing w:line="540" w:lineRule="exact"/>
        <w:ind w:firstLine="420" w:firstLineChars="200"/>
        <w:rPr>
          <w:rFonts w:ascii="宋体"/>
          <w:szCs w:val="21"/>
          <w:highlight w:val="none"/>
        </w:rPr>
      </w:pPr>
      <w:r>
        <w:rPr>
          <w:rFonts w:ascii="宋体" w:hAnsi="宋体"/>
          <w:szCs w:val="21"/>
          <w:highlight w:val="none"/>
        </w:rPr>
        <w:t>8.2</w:t>
      </w:r>
      <w:r>
        <w:rPr>
          <w:rFonts w:hint="eastAsia" w:ascii="宋体" w:hAnsi="宋体"/>
          <w:szCs w:val="21"/>
          <w:highlight w:val="none"/>
        </w:rPr>
        <w:t>、供应商对磋商文件如有质疑，应在响应文件提交截止时间</w:t>
      </w:r>
      <w:r>
        <w:rPr>
          <w:rFonts w:ascii="宋体" w:hAnsi="宋体"/>
          <w:szCs w:val="21"/>
          <w:highlight w:val="none"/>
        </w:rPr>
        <w:t>2</w:t>
      </w:r>
      <w:r>
        <w:rPr>
          <w:rFonts w:hint="eastAsia" w:ascii="宋体" w:hAnsi="宋体"/>
          <w:szCs w:val="21"/>
          <w:highlight w:val="none"/>
        </w:rPr>
        <w:t>个工作日前</w:t>
      </w:r>
      <w:r>
        <w:rPr>
          <w:rFonts w:hint="eastAsia" w:ascii="宋体" w:hAnsi="宋体" w:cs="宋体"/>
          <w:szCs w:val="21"/>
          <w:highlight w:val="none"/>
        </w:rPr>
        <w:t>向采购单位提出并将问题发送至邮箱1165121299@qq.com</w:t>
      </w:r>
      <w:r>
        <w:rPr>
          <w:rFonts w:hint="eastAsia" w:ascii="宋体" w:hAnsi="宋体"/>
          <w:szCs w:val="21"/>
          <w:highlight w:val="none"/>
        </w:rPr>
        <w:t>。</w:t>
      </w:r>
    </w:p>
    <w:p>
      <w:pPr>
        <w:spacing w:line="540" w:lineRule="exact"/>
        <w:ind w:firstLine="420" w:firstLineChars="200"/>
        <w:rPr>
          <w:rFonts w:ascii="宋体"/>
          <w:szCs w:val="21"/>
          <w:highlight w:val="none"/>
        </w:rPr>
      </w:pPr>
      <w:r>
        <w:rPr>
          <w:rFonts w:ascii="宋体" w:hAnsi="宋体"/>
          <w:szCs w:val="21"/>
          <w:highlight w:val="none"/>
        </w:rPr>
        <w:t>8.3</w:t>
      </w:r>
      <w:r>
        <w:rPr>
          <w:rFonts w:hint="eastAsia" w:ascii="宋体" w:hAnsi="宋体"/>
          <w:szCs w:val="21"/>
          <w:highlight w:val="none"/>
        </w:rPr>
        <w:t>、如果供应商未在约定的时间内对磋商文件有关条款提出质疑，视为充分理解磋商文件所有内容，一旦提交响应文件，则认为该供应商接受磋商文件的所有条款。</w:t>
      </w:r>
    </w:p>
    <w:p>
      <w:pPr>
        <w:spacing w:line="540" w:lineRule="exact"/>
        <w:ind w:firstLine="420" w:firstLineChars="200"/>
        <w:rPr>
          <w:rFonts w:ascii="宋体"/>
          <w:szCs w:val="21"/>
          <w:highlight w:val="none"/>
        </w:rPr>
      </w:pPr>
      <w:r>
        <w:rPr>
          <w:rFonts w:ascii="宋体" w:hAnsi="宋体"/>
          <w:szCs w:val="21"/>
          <w:highlight w:val="none"/>
        </w:rPr>
        <w:t>8.4</w:t>
      </w:r>
      <w:r>
        <w:rPr>
          <w:rFonts w:hint="eastAsia" w:ascii="宋体" w:hAnsi="宋体"/>
          <w:szCs w:val="21"/>
          <w:highlight w:val="none"/>
        </w:rPr>
        <w:t>、采购单位对在约定时间收到的、且需要做出澄清的问题，将以本须知所述方式进行答复，但不说明问题的来源。</w:t>
      </w:r>
    </w:p>
    <w:p>
      <w:pPr>
        <w:spacing w:line="360" w:lineRule="auto"/>
        <w:ind w:firstLine="422" w:firstLineChars="200"/>
        <w:rPr>
          <w:rFonts w:ascii="宋体"/>
          <w:b/>
          <w:szCs w:val="21"/>
          <w:highlight w:val="none"/>
        </w:rPr>
      </w:pPr>
      <w:r>
        <w:rPr>
          <w:rFonts w:ascii="宋体" w:hAnsi="宋体"/>
          <w:b/>
          <w:szCs w:val="21"/>
          <w:highlight w:val="none"/>
        </w:rPr>
        <w:t>9</w:t>
      </w:r>
      <w:r>
        <w:rPr>
          <w:rFonts w:hint="eastAsia" w:ascii="宋体" w:hAnsi="宋体"/>
          <w:b/>
          <w:szCs w:val="21"/>
          <w:highlight w:val="none"/>
        </w:rPr>
        <w:t>、磋商文件的修改</w:t>
      </w:r>
    </w:p>
    <w:p>
      <w:pPr>
        <w:spacing w:line="540" w:lineRule="exact"/>
        <w:ind w:firstLine="420" w:firstLineChars="200"/>
        <w:rPr>
          <w:rFonts w:ascii="宋体"/>
          <w:szCs w:val="21"/>
          <w:highlight w:val="none"/>
        </w:rPr>
      </w:pPr>
      <w:r>
        <w:rPr>
          <w:rFonts w:ascii="宋体" w:hAnsi="宋体"/>
          <w:szCs w:val="21"/>
          <w:highlight w:val="none"/>
        </w:rPr>
        <w:t>9.1</w:t>
      </w:r>
      <w:r>
        <w:rPr>
          <w:rFonts w:hint="eastAsia" w:ascii="宋体" w:hAnsi="宋体"/>
          <w:szCs w:val="21"/>
          <w:highlight w:val="none"/>
        </w:rPr>
        <w:t>、采购单位可以对磋商文件进行修改。</w:t>
      </w:r>
    </w:p>
    <w:p>
      <w:pPr>
        <w:spacing w:line="540" w:lineRule="exact"/>
        <w:ind w:firstLine="420" w:firstLineChars="200"/>
        <w:rPr>
          <w:rFonts w:ascii="宋体"/>
          <w:szCs w:val="21"/>
          <w:highlight w:val="none"/>
        </w:rPr>
      </w:pPr>
      <w:r>
        <w:rPr>
          <w:rFonts w:ascii="宋体" w:hAnsi="宋体"/>
          <w:szCs w:val="21"/>
          <w:highlight w:val="none"/>
        </w:rPr>
        <w:t>9.2</w:t>
      </w:r>
      <w:r>
        <w:rPr>
          <w:rFonts w:hint="eastAsia" w:ascii="宋体" w:hAnsi="宋体"/>
          <w:szCs w:val="21"/>
          <w:highlight w:val="none"/>
        </w:rPr>
        <w:t>、采购单位对供应商质疑的答复和对磋商文件的澄清、修改、补充说明等内容</w:t>
      </w:r>
      <w:r>
        <w:rPr>
          <w:rFonts w:hint="eastAsia" w:ascii="宋体" w:hAnsi="宋体"/>
          <w:b/>
          <w:bCs/>
          <w:szCs w:val="21"/>
          <w:highlight w:val="none"/>
        </w:rPr>
        <w:t>均通过</w:t>
      </w:r>
      <w:r>
        <w:rPr>
          <w:rFonts w:hint="eastAsia" w:ascii="宋体" w:hAnsi="宋体" w:cs="宋体"/>
          <w:b/>
          <w:bCs/>
          <w:szCs w:val="21"/>
          <w:highlight w:val="none"/>
        </w:rPr>
        <w:t>安庆职业技术学院（https://www.aqvtc.edu.cn/）招标采购栏目发布</w:t>
      </w:r>
      <w:r>
        <w:rPr>
          <w:rFonts w:hint="eastAsia" w:ascii="宋体" w:hAnsi="宋体"/>
          <w:b/>
          <w:bCs/>
          <w:szCs w:val="21"/>
          <w:highlight w:val="none"/>
        </w:rPr>
        <w:t>，该修改内容作为磋商文件的组成部分，具有约束作用</w:t>
      </w:r>
      <w:r>
        <w:rPr>
          <w:rFonts w:hint="eastAsia" w:ascii="宋体" w:hAnsi="宋体"/>
          <w:szCs w:val="21"/>
          <w:highlight w:val="none"/>
        </w:rPr>
        <w:t>。</w:t>
      </w:r>
    </w:p>
    <w:p>
      <w:pPr>
        <w:spacing w:line="540" w:lineRule="exact"/>
        <w:ind w:firstLine="420" w:firstLineChars="200"/>
        <w:rPr>
          <w:rFonts w:ascii="宋体"/>
          <w:szCs w:val="21"/>
          <w:highlight w:val="none"/>
        </w:rPr>
      </w:pPr>
      <w:r>
        <w:rPr>
          <w:rFonts w:ascii="宋体" w:hAnsi="宋体"/>
          <w:szCs w:val="21"/>
          <w:highlight w:val="none"/>
        </w:rPr>
        <w:t>9.3</w:t>
      </w:r>
      <w:r>
        <w:rPr>
          <w:rFonts w:hint="eastAsia" w:ascii="宋体" w:hAnsi="宋体"/>
          <w:szCs w:val="21"/>
          <w:highlight w:val="none"/>
        </w:rPr>
        <w:t>、当磋商文件与对磋商文件的澄清、修改、补充等在同一内容的表述上不一致时，以最后发出的为准。</w:t>
      </w:r>
    </w:p>
    <w:p>
      <w:pPr>
        <w:spacing w:line="360" w:lineRule="auto"/>
        <w:ind w:firstLine="420" w:firstLineChars="200"/>
        <w:rPr>
          <w:rFonts w:ascii="宋体"/>
          <w:szCs w:val="21"/>
          <w:highlight w:val="none"/>
        </w:rPr>
      </w:pPr>
      <w:r>
        <w:rPr>
          <w:rFonts w:ascii="宋体" w:hAnsi="宋体"/>
          <w:szCs w:val="21"/>
          <w:highlight w:val="none"/>
        </w:rPr>
        <w:t>9.4</w:t>
      </w:r>
      <w:r>
        <w:rPr>
          <w:rFonts w:hint="eastAsia" w:ascii="宋体" w:hAnsi="宋体"/>
          <w:szCs w:val="21"/>
          <w:highlight w:val="none"/>
        </w:rPr>
        <w:t>、为使供应商有充分时间对磋商文件的澄清、修改、补充部分进行研究、或是由于其他原因，采购单位可以决定顺延磋商时间，具体时间通过</w:t>
      </w:r>
      <w:r>
        <w:rPr>
          <w:rFonts w:hint="eastAsia" w:ascii="宋体" w:hAnsi="宋体" w:cs="宋体"/>
          <w:szCs w:val="21"/>
          <w:highlight w:val="none"/>
        </w:rPr>
        <w:t>安庆职业技术学院网站发布</w:t>
      </w:r>
      <w:r>
        <w:rPr>
          <w:rFonts w:hint="eastAsia" w:ascii="宋体" w:hAnsi="宋体"/>
          <w:szCs w:val="21"/>
          <w:highlight w:val="none"/>
        </w:rPr>
        <w:t>。</w:t>
      </w:r>
    </w:p>
    <w:p>
      <w:pPr>
        <w:pStyle w:val="5"/>
        <w:numPr>
          <w:ilvl w:val="0"/>
          <w:numId w:val="5"/>
        </w:numPr>
        <w:wordWrap/>
        <w:spacing w:line="360" w:lineRule="auto"/>
        <w:ind w:firstLine="551" w:firstLineChars="196"/>
        <w:rPr>
          <w:highlight w:val="none"/>
        </w:rPr>
      </w:pPr>
      <w:bookmarkStart w:id="70" w:name="_Toc31936"/>
      <w:bookmarkStart w:id="71" w:name="_Toc24744"/>
      <w:r>
        <w:rPr>
          <w:rFonts w:hint="eastAsia"/>
          <w:highlight w:val="none"/>
        </w:rPr>
        <w:t>响应文件编制</w:t>
      </w:r>
      <w:bookmarkEnd w:id="70"/>
      <w:bookmarkEnd w:id="71"/>
    </w:p>
    <w:p>
      <w:pPr>
        <w:spacing w:line="360" w:lineRule="auto"/>
        <w:ind w:firstLine="422" w:firstLineChars="200"/>
        <w:rPr>
          <w:rFonts w:ascii="宋体"/>
          <w:b/>
          <w:szCs w:val="21"/>
          <w:highlight w:val="none"/>
        </w:rPr>
      </w:pPr>
      <w:r>
        <w:rPr>
          <w:rFonts w:ascii="宋体" w:hAnsi="宋体"/>
          <w:b/>
          <w:szCs w:val="21"/>
          <w:highlight w:val="none"/>
        </w:rPr>
        <w:t>10</w:t>
      </w:r>
      <w:r>
        <w:rPr>
          <w:rFonts w:hint="eastAsia" w:ascii="宋体" w:hAnsi="宋体"/>
          <w:b/>
          <w:szCs w:val="21"/>
          <w:highlight w:val="none"/>
        </w:rPr>
        <w:t>、</w:t>
      </w:r>
      <w:r>
        <w:rPr>
          <w:rFonts w:ascii="宋体" w:hAnsi="宋体"/>
          <w:b/>
          <w:szCs w:val="21"/>
          <w:highlight w:val="none"/>
        </w:rPr>
        <w:t xml:space="preserve"> </w:t>
      </w:r>
      <w:r>
        <w:rPr>
          <w:rFonts w:hint="eastAsia" w:ascii="宋体" w:hAnsi="宋体"/>
          <w:b/>
          <w:szCs w:val="21"/>
          <w:highlight w:val="none"/>
        </w:rPr>
        <w:t>响应的语言及度量衡单位</w:t>
      </w:r>
    </w:p>
    <w:p>
      <w:pPr>
        <w:spacing w:line="360" w:lineRule="auto"/>
        <w:ind w:firstLine="420" w:firstLineChars="200"/>
        <w:rPr>
          <w:rFonts w:ascii="宋体"/>
          <w:szCs w:val="21"/>
          <w:highlight w:val="none"/>
        </w:rPr>
      </w:pPr>
      <w:r>
        <w:rPr>
          <w:rFonts w:ascii="宋体" w:hAnsi="宋体"/>
          <w:szCs w:val="21"/>
          <w:highlight w:val="none"/>
        </w:rPr>
        <w:t>10.1</w:t>
      </w:r>
      <w:r>
        <w:rPr>
          <w:rFonts w:hint="eastAsia" w:ascii="宋体" w:hAnsi="宋体"/>
          <w:szCs w:val="21"/>
          <w:highlight w:val="none"/>
        </w:rPr>
        <w:t>、供应商的响应文件、供应商与采购单位就采购的所有往来函电，均须使用简体中文。</w:t>
      </w:r>
    </w:p>
    <w:p>
      <w:pPr>
        <w:spacing w:line="360" w:lineRule="auto"/>
        <w:ind w:firstLine="420" w:firstLineChars="200"/>
        <w:rPr>
          <w:rFonts w:ascii="宋体"/>
          <w:szCs w:val="21"/>
          <w:highlight w:val="none"/>
        </w:rPr>
      </w:pPr>
      <w:r>
        <w:rPr>
          <w:rFonts w:ascii="宋体" w:hAnsi="宋体"/>
          <w:szCs w:val="21"/>
          <w:highlight w:val="none"/>
        </w:rPr>
        <w:t>10.2</w:t>
      </w:r>
      <w:r>
        <w:rPr>
          <w:rFonts w:hint="eastAsia" w:ascii="宋体" w:hAnsi="宋体"/>
          <w:szCs w:val="21"/>
          <w:highlight w:val="none"/>
        </w:rPr>
        <w:t>、除磋商文件中另有约定外，响应文件所使用的度量衡均须采用中华人民共和国法定计量单位。</w:t>
      </w:r>
    </w:p>
    <w:p>
      <w:pPr>
        <w:numPr>
          <w:ilvl w:val="0"/>
          <w:numId w:val="6"/>
        </w:numPr>
        <w:spacing w:line="360" w:lineRule="auto"/>
        <w:ind w:firstLine="422" w:firstLineChars="200"/>
        <w:rPr>
          <w:rFonts w:ascii="宋体"/>
          <w:b/>
          <w:szCs w:val="21"/>
          <w:highlight w:val="none"/>
        </w:rPr>
      </w:pPr>
      <w:r>
        <w:rPr>
          <w:rFonts w:ascii="宋体" w:hAnsi="宋体"/>
          <w:b/>
          <w:szCs w:val="21"/>
          <w:highlight w:val="none"/>
        </w:rPr>
        <w:t xml:space="preserve"> </w:t>
      </w:r>
      <w:r>
        <w:rPr>
          <w:rFonts w:hint="eastAsia" w:ascii="宋体" w:hAnsi="宋体"/>
          <w:b/>
          <w:szCs w:val="21"/>
          <w:highlight w:val="none"/>
        </w:rPr>
        <w:t>响应文件的构成</w:t>
      </w:r>
    </w:p>
    <w:p>
      <w:pPr>
        <w:spacing w:line="360" w:lineRule="auto"/>
        <w:ind w:firstLine="420" w:firstLineChars="200"/>
        <w:rPr>
          <w:rFonts w:ascii="宋体"/>
          <w:szCs w:val="21"/>
          <w:highlight w:val="none"/>
        </w:rPr>
      </w:pPr>
      <w:r>
        <w:rPr>
          <w:rFonts w:ascii="宋体" w:hAnsi="宋体"/>
          <w:szCs w:val="21"/>
          <w:highlight w:val="none"/>
        </w:rPr>
        <w:t>11.1</w:t>
      </w:r>
      <w:r>
        <w:rPr>
          <w:rFonts w:hint="eastAsia" w:ascii="宋体" w:hAnsi="宋体"/>
          <w:szCs w:val="21"/>
          <w:highlight w:val="none"/>
        </w:rPr>
        <w:t>、响应文件应该按照“响应文件格式”约定的内容和顺序进行编写。</w:t>
      </w:r>
    </w:p>
    <w:p>
      <w:pPr>
        <w:spacing w:line="360" w:lineRule="auto"/>
        <w:ind w:firstLine="420" w:firstLineChars="200"/>
        <w:rPr>
          <w:rFonts w:ascii="宋体"/>
          <w:szCs w:val="21"/>
          <w:highlight w:val="none"/>
        </w:rPr>
      </w:pPr>
      <w:r>
        <w:rPr>
          <w:rFonts w:ascii="宋体" w:hAnsi="宋体"/>
          <w:szCs w:val="21"/>
          <w:highlight w:val="none"/>
        </w:rPr>
        <w:t>11.2</w:t>
      </w:r>
      <w:r>
        <w:rPr>
          <w:rFonts w:hint="eastAsia" w:ascii="宋体" w:hAnsi="宋体"/>
          <w:szCs w:val="21"/>
          <w:highlight w:val="none"/>
        </w:rPr>
        <w:t>、</w:t>
      </w:r>
      <w:r>
        <w:rPr>
          <w:rFonts w:hint="eastAsia" w:ascii="宋体" w:hAnsi="宋体"/>
          <w:color w:val="000000"/>
          <w:szCs w:val="21"/>
          <w:highlight w:val="none"/>
        </w:rPr>
        <w:t>供应商应提交“磋商须知前附表”中约定的磋商响应文件。</w:t>
      </w:r>
    </w:p>
    <w:p>
      <w:pPr>
        <w:spacing w:line="360" w:lineRule="auto"/>
        <w:ind w:firstLine="420" w:firstLineChars="200"/>
        <w:rPr>
          <w:rFonts w:ascii="宋体"/>
          <w:szCs w:val="21"/>
          <w:highlight w:val="none"/>
        </w:rPr>
      </w:pPr>
      <w:r>
        <w:rPr>
          <w:rFonts w:ascii="宋体" w:hAnsi="宋体"/>
          <w:szCs w:val="21"/>
          <w:highlight w:val="none"/>
        </w:rPr>
        <w:t>11.3</w:t>
      </w:r>
      <w:r>
        <w:rPr>
          <w:rFonts w:hint="eastAsia" w:ascii="宋体" w:hAnsi="宋体"/>
          <w:szCs w:val="21"/>
          <w:highlight w:val="none"/>
        </w:rPr>
        <w:t>、供应商必须对其响应文件的真实性与准确性负责。供应商一旦成交，其响应文件将作为合同的重要组成部分。</w:t>
      </w:r>
    </w:p>
    <w:p>
      <w:pPr>
        <w:spacing w:line="360" w:lineRule="auto"/>
        <w:ind w:firstLine="420" w:firstLineChars="200"/>
        <w:rPr>
          <w:rFonts w:ascii="宋体"/>
          <w:szCs w:val="21"/>
          <w:highlight w:val="none"/>
        </w:rPr>
      </w:pPr>
      <w:r>
        <w:rPr>
          <w:rFonts w:ascii="宋体" w:hAnsi="宋体"/>
          <w:szCs w:val="21"/>
          <w:highlight w:val="none"/>
        </w:rPr>
        <w:t>11.4</w:t>
      </w:r>
      <w:r>
        <w:rPr>
          <w:rFonts w:hint="eastAsia" w:ascii="宋体" w:hAnsi="宋体"/>
          <w:szCs w:val="21"/>
          <w:highlight w:val="none"/>
        </w:rPr>
        <w:t>、供应商提供的服务能满足磋商文件约定的实质性要求。否则，其响应文件在评审时有可能被认为是对磋商文件未做出实质性的响应，而终止对其作进一步的评审。</w:t>
      </w:r>
    </w:p>
    <w:p>
      <w:pPr>
        <w:spacing w:line="360" w:lineRule="auto"/>
        <w:ind w:firstLine="422" w:firstLineChars="200"/>
        <w:rPr>
          <w:rFonts w:ascii="宋体" w:cs="宋体"/>
          <w:b/>
          <w:szCs w:val="21"/>
          <w:highlight w:val="none"/>
        </w:rPr>
      </w:pPr>
      <w:r>
        <w:rPr>
          <w:rFonts w:ascii="宋体" w:hAnsi="宋体" w:cs="宋体"/>
          <w:b/>
          <w:szCs w:val="21"/>
          <w:highlight w:val="none"/>
        </w:rPr>
        <w:t>12</w:t>
      </w:r>
      <w:r>
        <w:rPr>
          <w:rFonts w:hint="eastAsia" w:ascii="宋体" w:hAnsi="宋体" w:cs="宋体"/>
          <w:b/>
          <w:szCs w:val="21"/>
          <w:highlight w:val="none"/>
        </w:rPr>
        <w:t>、磋商响应报价</w:t>
      </w:r>
    </w:p>
    <w:p>
      <w:pPr>
        <w:spacing w:line="360" w:lineRule="auto"/>
        <w:ind w:firstLine="420" w:firstLineChars="200"/>
        <w:rPr>
          <w:rFonts w:ascii="宋体" w:cs="宋体"/>
          <w:szCs w:val="21"/>
          <w:highlight w:val="none"/>
        </w:rPr>
      </w:pPr>
      <w:r>
        <w:rPr>
          <w:rFonts w:ascii="宋体" w:hAnsi="宋体" w:cs="宋体"/>
          <w:szCs w:val="21"/>
          <w:highlight w:val="none"/>
        </w:rPr>
        <w:t>12.1</w:t>
      </w:r>
      <w:r>
        <w:rPr>
          <w:rFonts w:hint="eastAsia" w:ascii="宋体" w:hAnsi="宋体" w:cs="宋体"/>
          <w:szCs w:val="21"/>
          <w:highlight w:val="none"/>
        </w:rPr>
        <w:t>、响应文件的服务报价表上应清楚地标明供应商拟提供服务的名称、价格等内容。单价不作为合同结算依据。</w:t>
      </w:r>
    </w:p>
    <w:p>
      <w:pPr>
        <w:spacing w:line="360" w:lineRule="auto"/>
        <w:ind w:firstLine="420" w:firstLineChars="200"/>
        <w:rPr>
          <w:rFonts w:ascii="宋体" w:cs="宋体"/>
          <w:szCs w:val="21"/>
          <w:highlight w:val="none"/>
        </w:rPr>
      </w:pPr>
      <w:r>
        <w:rPr>
          <w:rFonts w:ascii="宋体" w:hAnsi="宋体" w:cs="宋体"/>
          <w:szCs w:val="21"/>
          <w:highlight w:val="none"/>
        </w:rPr>
        <w:t>12.2</w:t>
      </w:r>
      <w:r>
        <w:rPr>
          <w:rFonts w:hint="eastAsia" w:ascii="宋体" w:hAnsi="宋体" w:cs="宋体"/>
          <w:szCs w:val="21"/>
          <w:highlight w:val="none"/>
        </w:rPr>
        <w:t>、除非特别要求，每个项目（或每个包）只允许有一个方案、一个报价。多方案、多报价的响应文件将视为无效响应文件。</w:t>
      </w:r>
    </w:p>
    <w:p>
      <w:pPr>
        <w:spacing w:line="360" w:lineRule="auto"/>
        <w:ind w:firstLine="420" w:firstLineChars="200"/>
        <w:rPr>
          <w:rFonts w:ascii="宋体" w:hAnsi="宋体" w:cs="宋体"/>
          <w:szCs w:val="21"/>
          <w:highlight w:val="none"/>
        </w:rPr>
      </w:pPr>
      <w:r>
        <w:rPr>
          <w:rFonts w:ascii="宋体" w:hAnsi="宋体" w:cs="宋体"/>
          <w:szCs w:val="21"/>
          <w:highlight w:val="none"/>
        </w:rPr>
        <w:t>12.3</w:t>
      </w:r>
      <w:r>
        <w:rPr>
          <w:rFonts w:hint="eastAsia" w:ascii="宋体" w:hAnsi="宋体" w:cs="宋体"/>
          <w:szCs w:val="21"/>
          <w:highlight w:val="none"/>
        </w:rPr>
        <w:t>、供应商的</w:t>
      </w:r>
      <w:r>
        <w:rPr>
          <w:rFonts w:hint="eastAsia" w:ascii="宋体" w:hAnsi="宋体"/>
          <w:szCs w:val="21"/>
          <w:highlight w:val="none"/>
        </w:rPr>
        <w:t>报价应包含满足本次采购需求的所有费用（包括但不限于：</w:t>
      </w:r>
      <w:r>
        <w:rPr>
          <w:rFonts w:hint="eastAsia" w:ascii="宋体" w:hAnsi="宋体" w:cs="宋体"/>
          <w:szCs w:val="21"/>
          <w:highlight w:val="none"/>
        </w:rPr>
        <w:t>人工费、材</w:t>
      </w:r>
    </w:p>
    <w:p>
      <w:pPr>
        <w:spacing w:line="360" w:lineRule="auto"/>
        <w:rPr>
          <w:rFonts w:ascii="宋体" w:cs="宋体"/>
          <w:szCs w:val="21"/>
          <w:highlight w:val="none"/>
        </w:rPr>
      </w:pPr>
      <w:r>
        <w:rPr>
          <w:rFonts w:hint="eastAsia" w:ascii="宋体" w:hAnsi="宋体" w:cs="宋体"/>
          <w:szCs w:val="21"/>
          <w:highlight w:val="none"/>
        </w:rPr>
        <w:t>料费、交通费、培训费、印刷费、管理费、保险、税金等）。</w:t>
      </w:r>
    </w:p>
    <w:p>
      <w:pPr>
        <w:spacing w:line="360" w:lineRule="auto"/>
        <w:ind w:firstLine="420" w:firstLineChars="200"/>
        <w:rPr>
          <w:rFonts w:ascii="宋体" w:hAnsi="宋体" w:cs="宋体"/>
          <w:szCs w:val="21"/>
          <w:highlight w:val="none"/>
        </w:rPr>
      </w:pPr>
      <w:r>
        <w:rPr>
          <w:rFonts w:ascii="宋体" w:hAnsi="宋体" w:cs="宋体"/>
          <w:szCs w:val="21"/>
          <w:highlight w:val="none"/>
        </w:rPr>
        <w:t>12.4</w:t>
      </w:r>
      <w:r>
        <w:rPr>
          <w:rFonts w:hint="eastAsia" w:ascii="宋体" w:hAnsi="宋体" w:cs="宋体"/>
          <w:szCs w:val="21"/>
          <w:highlight w:val="none"/>
        </w:rPr>
        <w:t>、</w:t>
      </w:r>
      <w:r>
        <w:rPr>
          <w:rFonts w:hint="eastAsia" w:ascii="宋体" w:hAnsi="宋体" w:cs="宋体"/>
          <w:szCs w:val="21"/>
          <w:highlight w:val="none"/>
        </w:rPr>
        <w:t>磋商报价高于最高磋商限价为无效报价。</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12.5、磋商响应文件内容不一致的确认。</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w:t>
      </w:r>
      <w:r>
        <w:rPr>
          <w:rFonts w:ascii="宋体" w:hAnsi="宋体" w:cs="宋体"/>
          <w:color w:val="000000"/>
          <w:szCs w:val="21"/>
          <w:highlight w:val="none"/>
        </w:rPr>
        <w:t>2</w:t>
      </w:r>
      <w:r>
        <w:rPr>
          <w:rFonts w:hint="eastAsia" w:ascii="宋体" w:hAnsi="宋体" w:cs="宋体"/>
          <w:color w:val="000000"/>
          <w:szCs w:val="21"/>
          <w:highlight w:val="none"/>
        </w:rPr>
        <w:t>.5.1、磋商响应文件中磋商响应函(磋商报价)与磋商响应文件中相应内容不一致的,以磋商响应函(磋商报价)为准；</w:t>
      </w:r>
    </w:p>
    <w:p>
      <w:pPr>
        <w:spacing w:line="360" w:lineRule="auto"/>
        <w:ind w:firstLine="420" w:firstLineChars="200"/>
        <w:rPr>
          <w:rFonts w:ascii="宋体" w:hAnsi="宋体" w:cs="宋体"/>
          <w:color w:val="000000"/>
          <w:szCs w:val="21"/>
          <w:highlight w:val="none"/>
        </w:rPr>
      </w:pPr>
      <w:r>
        <w:rPr>
          <w:rFonts w:hint="eastAsia" w:ascii="宋体" w:hAnsi="宋体" w:cs="宋体"/>
          <w:color w:val="000000"/>
          <w:szCs w:val="21"/>
          <w:highlight w:val="none"/>
        </w:rPr>
        <w:t>1</w:t>
      </w:r>
      <w:r>
        <w:rPr>
          <w:rFonts w:ascii="宋体" w:hAnsi="宋体" w:cs="宋体"/>
          <w:color w:val="000000"/>
          <w:szCs w:val="21"/>
          <w:highlight w:val="none"/>
        </w:rPr>
        <w:t>2</w:t>
      </w:r>
      <w:r>
        <w:rPr>
          <w:rFonts w:hint="eastAsia" w:ascii="宋体" w:hAnsi="宋体" w:cs="宋体"/>
          <w:color w:val="000000"/>
          <w:szCs w:val="21"/>
          <w:highlight w:val="none"/>
        </w:rPr>
        <w:t>.</w:t>
      </w:r>
      <w:r>
        <w:rPr>
          <w:rFonts w:ascii="宋体" w:hAnsi="宋体" w:cs="宋体"/>
          <w:color w:val="000000"/>
          <w:szCs w:val="21"/>
          <w:highlight w:val="none"/>
        </w:rPr>
        <w:t>5.</w:t>
      </w:r>
      <w:r>
        <w:rPr>
          <w:rFonts w:hint="eastAsia" w:ascii="宋体" w:hAnsi="宋体" w:cs="宋体"/>
          <w:color w:val="000000"/>
          <w:szCs w:val="21"/>
          <w:highlight w:val="none"/>
        </w:rPr>
        <w:t>2、若大写金额和小写金额不一致的，以大写金额为准；</w:t>
      </w:r>
    </w:p>
    <w:p>
      <w:pPr>
        <w:spacing w:line="360" w:lineRule="auto"/>
        <w:ind w:firstLine="420" w:firstLineChars="200"/>
        <w:rPr>
          <w:rFonts w:ascii="宋体" w:hAnsi="宋体"/>
          <w:color w:val="000000"/>
          <w:szCs w:val="21"/>
          <w:highlight w:val="none"/>
        </w:rPr>
      </w:pPr>
      <w:r>
        <w:rPr>
          <w:rFonts w:hint="eastAsia" w:ascii="宋体" w:hAnsi="宋体" w:cs="宋体"/>
          <w:color w:val="000000"/>
          <w:szCs w:val="21"/>
          <w:highlight w:val="none"/>
        </w:rPr>
        <w:t>1</w:t>
      </w:r>
      <w:r>
        <w:rPr>
          <w:rFonts w:ascii="宋体" w:hAnsi="宋体" w:cs="宋体"/>
          <w:color w:val="000000"/>
          <w:szCs w:val="21"/>
          <w:highlight w:val="none"/>
        </w:rPr>
        <w:t>2</w:t>
      </w:r>
      <w:r>
        <w:rPr>
          <w:rFonts w:hint="eastAsia" w:ascii="宋体" w:hAnsi="宋体" w:cs="宋体"/>
          <w:color w:val="000000"/>
          <w:szCs w:val="21"/>
          <w:highlight w:val="none"/>
        </w:rPr>
        <w:t>.</w:t>
      </w:r>
      <w:r>
        <w:rPr>
          <w:rFonts w:ascii="宋体" w:hAnsi="宋体" w:cs="宋体"/>
          <w:color w:val="000000"/>
          <w:szCs w:val="21"/>
          <w:highlight w:val="none"/>
        </w:rPr>
        <w:t>5.</w:t>
      </w:r>
      <w:r>
        <w:rPr>
          <w:rFonts w:hint="eastAsia" w:ascii="宋体" w:hAnsi="宋体" w:cs="宋体"/>
          <w:color w:val="000000"/>
          <w:szCs w:val="21"/>
          <w:highlight w:val="none"/>
        </w:rPr>
        <w:t>3、</w:t>
      </w:r>
      <w:r>
        <w:rPr>
          <w:rFonts w:hint="eastAsia" w:ascii="宋体" w:hAnsi="宋体"/>
          <w:color w:val="000000"/>
          <w:szCs w:val="21"/>
          <w:highlight w:val="none"/>
        </w:rPr>
        <w:t>单价金额小数点或者百分比有明显错位的，应以磋商响应函(谈判响应报价)为准，并修正单价。</w:t>
      </w:r>
    </w:p>
    <w:p>
      <w:pPr>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12.5.4、总价金额与按单价汇总金额不一致的，以单价金额计算结果为准。</w:t>
      </w:r>
    </w:p>
    <w:p>
      <w:pPr>
        <w:spacing w:line="360" w:lineRule="auto"/>
        <w:ind w:firstLine="420" w:firstLineChars="200"/>
        <w:rPr>
          <w:rFonts w:ascii="宋体" w:hAnsi="宋体"/>
          <w:color w:val="000000"/>
          <w:szCs w:val="21"/>
          <w:highlight w:val="none"/>
        </w:rPr>
      </w:pPr>
      <w:r>
        <w:rPr>
          <w:rFonts w:hint="eastAsia" w:ascii="宋体" w:hAnsi="宋体"/>
          <w:color w:val="000000"/>
          <w:szCs w:val="21"/>
          <w:highlight w:val="none"/>
        </w:rPr>
        <w:t>同时出现两种以上不一致的，按照以上规定的顺序修正。修正后的报价应当采用书面形式，并加盖公章或者由法定代表人或其委托代理人签字,但不得超出谈判响应文件的范围或者改变磋商响应文件的实质性内容。经供应商确认后产生约束力，供应商不确认的，其磋商响应无效。</w:t>
      </w:r>
    </w:p>
    <w:p>
      <w:pPr>
        <w:spacing w:line="360" w:lineRule="auto"/>
        <w:ind w:firstLine="422" w:firstLineChars="200"/>
        <w:rPr>
          <w:rFonts w:ascii="宋体" w:cs="宋体"/>
          <w:szCs w:val="21"/>
          <w:highlight w:val="none"/>
        </w:rPr>
      </w:pPr>
      <w:r>
        <w:rPr>
          <w:rFonts w:ascii="宋体" w:hAnsi="宋体" w:cs="宋体"/>
          <w:b/>
          <w:szCs w:val="21"/>
          <w:highlight w:val="none"/>
        </w:rPr>
        <w:t>13</w:t>
      </w:r>
      <w:r>
        <w:rPr>
          <w:rFonts w:hint="eastAsia" w:ascii="宋体" w:hAnsi="宋体" w:cs="宋体"/>
          <w:b/>
          <w:szCs w:val="21"/>
          <w:highlight w:val="none"/>
        </w:rPr>
        <w:t>、磋商响应货币：</w:t>
      </w:r>
      <w:r>
        <w:rPr>
          <w:rFonts w:hint="eastAsia" w:ascii="宋体" w:hAnsi="宋体" w:cs="宋体"/>
          <w:szCs w:val="21"/>
          <w:highlight w:val="none"/>
        </w:rPr>
        <w:t>人民币。</w:t>
      </w:r>
    </w:p>
    <w:p>
      <w:pPr>
        <w:spacing w:line="360" w:lineRule="auto"/>
        <w:ind w:firstLine="422" w:firstLineChars="200"/>
        <w:rPr>
          <w:rFonts w:ascii="宋体" w:hAnsi="宋体" w:cs="宋体"/>
          <w:b/>
          <w:szCs w:val="21"/>
          <w:highlight w:val="none"/>
        </w:rPr>
      </w:pPr>
      <w:r>
        <w:rPr>
          <w:rFonts w:hint="eastAsia" w:ascii="宋体" w:hAnsi="宋体" w:cs="宋体"/>
          <w:b/>
          <w:szCs w:val="21"/>
          <w:highlight w:val="none"/>
        </w:rPr>
        <w:t>14、磋商响应保证金：本项目不收取</w:t>
      </w:r>
    </w:p>
    <w:p>
      <w:pPr>
        <w:spacing w:line="360" w:lineRule="auto"/>
        <w:ind w:firstLine="420" w:firstLineChars="200"/>
        <w:rPr>
          <w:rFonts w:ascii="宋体" w:hAnsi="宋体"/>
          <w:szCs w:val="21"/>
          <w:highlight w:val="none"/>
        </w:rPr>
      </w:pPr>
      <w:r>
        <w:rPr>
          <w:rFonts w:hint="eastAsia" w:ascii="宋体" w:hAnsi="宋体"/>
          <w:szCs w:val="21"/>
          <w:highlight w:val="none"/>
        </w:rPr>
        <w:t>14.1、有下列情形之一的，视为供应商串通投标，其磋商响应无效：</w:t>
      </w:r>
    </w:p>
    <w:p>
      <w:pPr>
        <w:spacing w:line="360" w:lineRule="auto"/>
        <w:ind w:firstLine="420" w:firstLineChars="200"/>
        <w:rPr>
          <w:rFonts w:ascii="宋体" w:hAnsi="宋体"/>
          <w:szCs w:val="21"/>
          <w:highlight w:val="none"/>
        </w:rPr>
      </w:pPr>
      <w:r>
        <w:rPr>
          <w:rFonts w:hint="eastAsia" w:ascii="宋体" w:hAnsi="宋体"/>
          <w:szCs w:val="21"/>
          <w:highlight w:val="none"/>
        </w:rPr>
        <w:t>（1）不同供应商的磋商响应文件由同一单位或者个人编制；</w:t>
      </w:r>
    </w:p>
    <w:p>
      <w:pPr>
        <w:spacing w:line="360" w:lineRule="auto"/>
        <w:ind w:firstLine="420" w:firstLineChars="200"/>
        <w:rPr>
          <w:rFonts w:ascii="宋体" w:hAnsi="宋体"/>
          <w:szCs w:val="21"/>
          <w:highlight w:val="none"/>
        </w:rPr>
      </w:pPr>
      <w:r>
        <w:rPr>
          <w:rFonts w:hint="eastAsia" w:ascii="宋体" w:hAnsi="宋体"/>
          <w:szCs w:val="21"/>
          <w:highlight w:val="none"/>
        </w:rPr>
        <w:t>（2）不同供应商委托同一单位或者个人办理磋商响应事宜；</w:t>
      </w:r>
    </w:p>
    <w:p>
      <w:pPr>
        <w:spacing w:line="360" w:lineRule="auto"/>
        <w:ind w:firstLine="420" w:firstLineChars="200"/>
        <w:rPr>
          <w:rFonts w:ascii="宋体" w:hAnsi="宋体"/>
          <w:szCs w:val="21"/>
          <w:highlight w:val="none"/>
        </w:rPr>
      </w:pPr>
      <w:r>
        <w:rPr>
          <w:rFonts w:hint="eastAsia" w:ascii="宋体" w:hAnsi="宋体"/>
          <w:szCs w:val="21"/>
          <w:highlight w:val="none"/>
        </w:rPr>
        <w:t>（3）不同供应商的磋商响应文件载明的项目管理成员或联系人员为同一人；</w:t>
      </w:r>
    </w:p>
    <w:p>
      <w:pPr>
        <w:spacing w:line="360" w:lineRule="auto"/>
        <w:ind w:firstLine="420" w:firstLineChars="200"/>
        <w:rPr>
          <w:rFonts w:ascii="宋体" w:hAnsi="宋体"/>
          <w:szCs w:val="21"/>
          <w:highlight w:val="none"/>
        </w:rPr>
      </w:pPr>
      <w:r>
        <w:rPr>
          <w:rFonts w:hint="eastAsia" w:ascii="宋体" w:hAnsi="宋体"/>
          <w:szCs w:val="21"/>
          <w:highlight w:val="none"/>
        </w:rPr>
        <w:t>（4）不同供应商的磋商响应文件异常一致或者磋商响应报价呈规律性差异；</w:t>
      </w:r>
    </w:p>
    <w:p>
      <w:pPr>
        <w:spacing w:line="360" w:lineRule="auto"/>
        <w:ind w:firstLine="420" w:firstLineChars="200"/>
        <w:rPr>
          <w:rFonts w:ascii="宋体" w:hAnsi="宋体"/>
          <w:szCs w:val="21"/>
          <w:highlight w:val="none"/>
        </w:rPr>
      </w:pPr>
      <w:r>
        <w:rPr>
          <w:rFonts w:hint="eastAsia" w:ascii="宋体" w:hAnsi="宋体"/>
          <w:szCs w:val="21"/>
          <w:highlight w:val="none"/>
        </w:rPr>
        <w:t>（5）不同供应商的磋商响应文件相互混装；</w:t>
      </w:r>
    </w:p>
    <w:p>
      <w:pPr>
        <w:spacing w:line="360" w:lineRule="auto"/>
        <w:ind w:firstLine="420" w:firstLineChars="200"/>
        <w:rPr>
          <w:rFonts w:ascii="宋体" w:hAnsi="宋体"/>
          <w:b/>
          <w:szCs w:val="21"/>
          <w:highlight w:val="none"/>
        </w:rPr>
      </w:pPr>
      <w:r>
        <w:rPr>
          <w:rFonts w:ascii="宋体" w:hAnsi="宋体" w:cs="宋体"/>
          <w:szCs w:val="21"/>
          <w:highlight w:val="none"/>
        </w:rPr>
        <w:t>14.</w:t>
      </w:r>
      <w:r>
        <w:rPr>
          <w:rFonts w:hint="eastAsia" w:ascii="宋体" w:hAnsi="宋体" w:cs="宋体"/>
          <w:szCs w:val="21"/>
          <w:highlight w:val="none"/>
        </w:rPr>
        <w:t>2、</w:t>
      </w:r>
      <w:r>
        <w:rPr>
          <w:rFonts w:hint="eastAsia" w:ascii="宋体" w:hAnsi="宋体"/>
          <w:b/>
          <w:szCs w:val="21"/>
          <w:highlight w:val="none"/>
        </w:rPr>
        <w:t>供应商在本项目招标过程中有下列行为之一的，成交无效，给采购人造成的损失，供应商还应予以赔偿。构成犯罪的，依法追究刑事责任。</w:t>
      </w:r>
    </w:p>
    <w:p>
      <w:pPr>
        <w:widowControl/>
        <w:spacing w:line="500" w:lineRule="exact"/>
        <w:ind w:firstLine="420" w:firstLineChars="200"/>
        <w:jc w:val="left"/>
        <w:rPr>
          <w:highlight w:val="none"/>
        </w:rPr>
      </w:pPr>
      <w:r>
        <w:rPr>
          <w:rFonts w:hint="eastAsia"/>
          <w:highlight w:val="none"/>
        </w:rPr>
        <w:t>（1）成交后无正当理由不与采购单位签订合同的；</w:t>
      </w:r>
    </w:p>
    <w:p>
      <w:pPr>
        <w:widowControl/>
        <w:spacing w:line="500" w:lineRule="exact"/>
        <w:ind w:firstLine="420" w:firstLineChars="200"/>
        <w:jc w:val="left"/>
        <w:rPr>
          <w:rFonts w:ascii="宋体" w:hAnsi="宋体"/>
          <w:szCs w:val="21"/>
          <w:highlight w:val="none"/>
        </w:rPr>
      </w:pPr>
      <w:r>
        <w:rPr>
          <w:rFonts w:hint="eastAsia"/>
          <w:highlight w:val="none"/>
        </w:rPr>
        <w:t>（2）</w:t>
      </w:r>
      <w:r>
        <w:rPr>
          <w:rFonts w:hint="eastAsia" w:ascii="宋体" w:hAnsi="宋体"/>
          <w:szCs w:val="21"/>
          <w:highlight w:val="none"/>
        </w:rPr>
        <w:t>在签订合同时向采购人提出附加条件，或者不按照磋商文件要求提交履约保证金的；</w:t>
      </w:r>
    </w:p>
    <w:p>
      <w:pPr>
        <w:widowControl/>
        <w:spacing w:line="500" w:lineRule="exact"/>
        <w:ind w:firstLine="420" w:firstLineChars="200"/>
        <w:jc w:val="left"/>
        <w:rPr>
          <w:highlight w:val="none"/>
        </w:rPr>
      </w:pPr>
      <w:r>
        <w:rPr>
          <w:rFonts w:hint="eastAsia"/>
          <w:highlight w:val="none"/>
        </w:rPr>
        <w:t>（3）将成交项目转让给他人，或在响应文件中未说明，将成交项目分包给他人的；</w:t>
      </w:r>
    </w:p>
    <w:p>
      <w:pPr>
        <w:spacing w:line="360" w:lineRule="auto"/>
        <w:ind w:firstLine="420" w:firstLineChars="200"/>
        <w:rPr>
          <w:highlight w:val="none"/>
        </w:rPr>
      </w:pPr>
      <w:r>
        <w:rPr>
          <w:rFonts w:hint="eastAsia"/>
          <w:highlight w:val="none"/>
        </w:rPr>
        <w:t>（4）</w:t>
      </w:r>
      <w:r>
        <w:rPr>
          <w:rFonts w:hint="eastAsia" w:ascii="宋体" w:hAnsi="宋体"/>
          <w:szCs w:val="21"/>
          <w:highlight w:val="none"/>
        </w:rPr>
        <w:t>供应商相互串通或者与采购人串通的；</w:t>
      </w:r>
    </w:p>
    <w:p>
      <w:pPr>
        <w:spacing w:line="360" w:lineRule="auto"/>
        <w:ind w:firstLine="420" w:firstLineChars="200"/>
        <w:rPr>
          <w:rFonts w:ascii="宋体" w:hAnsi="宋体"/>
          <w:szCs w:val="21"/>
          <w:highlight w:val="none"/>
        </w:rPr>
      </w:pPr>
      <w:r>
        <w:rPr>
          <w:rFonts w:hint="eastAsia" w:ascii="宋体" w:hAnsi="宋体"/>
          <w:szCs w:val="21"/>
          <w:highlight w:val="none"/>
        </w:rPr>
        <w:t>（5）供应商以向采购人或者评标委员会成员行贿的手段谋取成交的；</w:t>
      </w:r>
    </w:p>
    <w:p>
      <w:pPr>
        <w:spacing w:line="360" w:lineRule="auto"/>
        <w:ind w:firstLine="420" w:firstLineChars="200"/>
        <w:rPr>
          <w:rFonts w:ascii="宋体" w:hAnsi="宋体"/>
          <w:szCs w:val="21"/>
          <w:highlight w:val="none"/>
        </w:rPr>
      </w:pPr>
      <w:r>
        <w:rPr>
          <w:rFonts w:hint="eastAsia" w:ascii="宋体" w:hAnsi="宋体"/>
          <w:szCs w:val="21"/>
          <w:highlight w:val="none"/>
        </w:rPr>
        <w:t>（6）供应商以他人名义磋商或者以其他方式弄虚作假，骗取成交的；</w:t>
      </w:r>
    </w:p>
    <w:p>
      <w:pPr>
        <w:spacing w:line="360" w:lineRule="auto"/>
        <w:ind w:firstLine="420" w:firstLineChars="200"/>
        <w:rPr>
          <w:rFonts w:ascii="宋体" w:hAnsi="宋体"/>
          <w:szCs w:val="21"/>
          <w:highlight w:val="none"/>
        </w:rPr>
      </w:pPr>
      <w:r>
        <w:rPr>
          <w:rFonts w:hint="eastAsia" w:ascii="宋体" w:hAnsi="宋体"/>
          <w:szCs w:val="21"/>
          <w:highlight w:val="none"/>
        </w:rPr>
        <w:t>（7）违法与采购人就磋商价格、服务方案等实质性内容进行磋商，影响成交结果的；</w:t>
      </w:r>
    </w:p>
    <w:p>
      <w:pPr>
        <w:widowControl/>
        <w:spacing w:line="500" w:lineRule="exact"/>
        <w:ind w:firstLine="420" w:firstLineChars="200"/>
        <w:jc w:val="left"/>
        <w:rPr>
          <w:rFonts w:ascii="宋体" w:cs="宋体"/>
          <w:highlight w:val="none"/>
        </w:rPr>
      </w:pPr>
      <w:r>
        <w:rPr>
          <w:rFonts w:hint="eastAsia" w:ascii="宋体" w:hAnsi="宋体"/>
          <w:szCs w:val="21"/>
          <w:highlight w:val="none"/>
        </w:rPr>
        <w:t>（8）法律、法规规定及磋商文件约定的其他情形</w:t>
      </w:r>
      <w:r>
        <w:rPr>
          <w:rFonts w:hint="eastAsia" w:ascii="宋体" w:hAnsi="宋体" w:cs="宋体"/>
          <w:highlight w:val="none"/>
        </w:rPr>
        <w:t>。</w:t>
      </w:r>
    </w:p>
    <w:p>
      <w:pPr>
        <w:spacing w:line="360" w:lineRule="auto"/>
        <w:ind w:firstLine="422" w:firstLineChars="200"/>
        <w:rPr>
          <w:rFonts w:ascii="宋体" w:cs="宋体"/>
          <w:b/>
          <w:szCs w:val="21"/>
          <w:highlight w:val="none"/>
        </w:rPr>
      </w:pPr>
      <w:r>
        <w:rPr>
          <w:rFonts w:ascii="宋体" w:hAnsi="宋体" w:cs="宋体"/>
          <w:b/>
          <w:szCs w:val="21"/>
          <w:highlight w:val="none"/>
        </w:rPr>
        <w:t>15</w:t>
      </w:r>
      <w:r>
        <w:rPr>
          <w:rFonts w:hint="eastAsia" w:ascii="宋体" w:hAnsi="宋体" w:cs="宋体"/>
          <w:b/>
          <w:szCs w:val="21"/>
          <w:highlight w:val="none"/>
        </w:rPr>
        <w:t>、磋商有效期</w:t>
      </w:r>
    </w:p>
    <w:p>
      <w:pPr>
        <w:spacing w:line="360" w:lineRule="auto"/>
        <w:ind w:firstLine="420" w:firstLineChars="200"/>
        <w:rPr>
          <w:rFonts w:ascii="宋体" w:cs="宋体"/>
          <w:szCs w:val="21"/>
          <w:highlight w:val="none"/>
        </w:rPr>
      </w:pPr>
      <w:r>
        <w:rPr>
          <w:rFonts w:ascii="宋体" w:hAnsi="宋体" w:cs="宋体"/>
          <w:szCs w:val="21"/>
          <w:highlight w:val="none"/>
        </w:rPr>
        <w:t>15.1</w:t>
      </w:r>
      <w:r>
        <w:rPr>
          <w:rFonts w:hint="eastAsia" w:ascii="宋体" w:hAnsi="宋体" w:cs="宋体"/>
          <w:szCs w:val="21"/>
          <w:highlight w:val="none"/>
        </w:rPr>
        <w:t>、磋商有效期见“磋商须知前附表”的约定。</w:t>
      </w:r>
    </w:p>
    <w:p>
      <w:pPr>
        <w:spacing w:line="360" w:lineRule="auto"/>
        <w:ind w:firstLine="420" w:firstLineChars="200"/>
        <w:rPr>
          <w:rFonts w:ascii="宋体" w:cs="宋体"/>
          <w:szCs w:val="21"/>
          <w:highlight w:val="none"/>
        </w:rPr>
      </w:pPr>
      <w:r>
        <w:rPr>
          <w:rFonts w:ascii="宋体" w:hAnsi="宋体" w:cs="宋体"/>
          <w:szCs w:val="21"/>
          <w:highlight w:val="none"/>
        </w:rPr>
        <w:t>15.2</w:t>
      </w:r>
      <w:r>
        <w:rPr>
          <w:rFonts w:hint="eastAsia" w:ascii="宋体" w:hAnsi="宋体" w:cs="宋体"/>
          <w:szCs w:val="21"/>
          <w:highlight w:val="none"/>
        </w:rPr>
        <w:t>、在磋商有效期内，供应商不得要求撤销或修改其响应文件。</w:t>
      </w:r>
    </w:p>
    <w:p>
      <w:pPr>
        <w:spacing w:line="360" w:lineRule="auto"/>
        <w:ind w:firstLine="420" w:firstLineChars="200"/>
        <w:rPr>
          <w:rFonts w:ascii="宋体" w:cs="宋体"/>
          <w:szCs w:val="21"/>
          <w:highlight w:val="none"/>
        </w:rPr>
      </w:pPr>
      <w:r>
        <w:rPr>
          <w:rFonts w:ascii="宋体" w:hAnsi="宋体" w:cs="宋体"/>
          <w:szCs w:val="21"/>
          <w:highlight w:val="none"/>
        </w:rPr>
        <w:t>15.3</w:t>
      </w:r>
      <w:r>
        <w:rPr>
          <w:rFonts w:hint="eastAsia" w:ascii="宋体" w:hAnsi="宋体" w:cs="宋体"/>
          <w:szCs w:val="21"/>
          <w:highlight w:val="none"/>
        </w:rPr>
        <w:t>、磋商有效期从响应文件提交截止时间算起。</w:t>
      </w:r>
    </w:p>
    <w:p>
      <w:pPr>
        <w:spacing w:line="360" w:lineRule="auto"/>
        <w:ind w:firstLine="420" w:firstLineChars="200"/>
        <w:rPr>
          <w:rFonts w:ascii="宋体" w:cs="宋体"/>
          <w:szCs w:val="21"/>
          <w:highlight w:val="none"/>
        </w:rPr>
      </w:pPr>
      <w:r>
        <w:rPr>
          <w:rFonts w:ascii="宋体" w:hAnsi="宋体" w:cs="宋体"/>
          <w:szCs w:val="21"/>
          <w:highlight w:val="none"/>
        </w:rPr>
        <w:t>15.4</w:t>
      </w:r>
      <w:r>
        <w:rPr>
          <w:rFonts w:hint="eastAsia" w:ascii="宋体" w:hAnsi="宋体" w:cs="宋体"/>
          <w:szCs w:val="21"/>
          <w:highlight w:val="none"/>
        </w:rPr>
        <w:t>、在特殊情况下，采购单位可于原磋商有效期满之前，向成交候选人提出延长磋商有效期的要求。成交候选人可以拒绝采购单位的这种要求，但是对拒绝延长磋商有效期的成交候选人，采购单位有权利拒绝其响应文件。同意延长磋商有效期的成交候选人既不能要求也不允许修改磋商文件和其响应文件所有内容。提出磋商有效期的延长要求和成交候选人对该要求的答复均须采用书面形式。</w:t>
      </w:r>
    </w:p>
    <w:p>
      <w:pPr>
        <w:pStyle w:val="29"/>
        <w:spacing w:line="360" w:lineRule="exact"/>
        <w:ind w:firstLine="422" w:firstLineChars="200"/>
        <w:rPr>
          <w:rFonts w:hAnsi="宋体" w:cs="宋体"/>
          <w:b/>
          <w:highlight w:val="none"/>
        </w:rPr>
      </w:pPr>
      <w:r>
        <w:rPr>
          <w:rFonts w:hAnsi="宋体" w:cs="宋体"/>
          <w:b/>
          <w:highlight w:val="none"/>
        </w:rPr>
        <w:t>16</w:t>
      </w:r>
      <w:r>
        <w:rPr>
          <w:rFonts w:hint="eastAsia" w:hAnsi="宋体" w:cs="宋体"/>
          <w:b/>
          <w:highlight w:val="none"/>
        </w:rPr>
        <w:t>、响应文件的签署</w:t>
      </w:r>
    </w:p>
    <w:p>
      <w:pPr>
        <w:spacing w:line="360" w:lineRule="auto"/>
        <w:ind w:firstLine="420" w:firstLineChars="200"/>
        <w:rPr>
          <w:rFonts w:ascii="宋体" w:cs="宋体"/>
          <w:szCs w:val="21"/>
          <w:highlight w:val="none"/>
        </w:rPr>
      </w:pPr>
      <w:r>
        <w:rPr>
          <w:rFonts w:ascii="宋体" w:hAnsi="宋体" w:cs="宋体"/>
          <w:szCs w:val="21"/>
          <w:highlight w:val="none"/>
        </w:rPr>
        <w:t>16.1</w:t>
      </w:r>
      <w:r>
        <w:rPr>
          <w:rFonts w:hint="eastAsia" w:ascii="宋体" w:hAnsi="宋体" w:cs="宋体"/>
          <w:szCs w:val="21"/>
          <w:highlight w:val="none"/>
        </w:rPr>
        <w:t>、供应商应按本须知前附表约定的格式，编制并提交响应文件。</w:t>
      </w:r>
    </w:p>
    <w:p>
      <w:pPr>
        <w:spacing w:line="360" w:lineRule="auto"/>
        <w:ind w:firstLine="420" w:firstLineChars="200"/>
        <w:rPr>
          <w:rFonts w:ascii="宋体" w:cs="宋体"/>
          <w:szCs w:val="21"/>
          <w:highlight w:val="none"/>
        </w:rPr>
      </w:pPr>
      <w:r>
        <w:rPr>
          <w:rFonts w:ascii="宋体" w:hAnsi="宋体" w:cs="宋体"/>
          <w:szCs w:val="21"/>
          <w:highlight w:val="none"/>
        </w:rPr>
        <w:t>16.2</w:t>
      </w:r>
      <w:r>
        <w:rPr>
          <w:rFonts w:hint="eastAsia" w:ascii="宋体" w:hAnsi="宋体" w:cs="宋体"/>
          <w:szCs w:val="21"/>
          <w:highlight w:val="none"/>
        </w:rPr>
        <w:t>、响应文件应由供应商的法定代表人或委托代理人</w:t>
      </w:r>
      <w:r>
        <w:rPr>
          <w:rFonts w:hint="eastAsia" w:ascii="宋体" w:hAnsi="宋体" w:cs="宋体"/>
          <w:szCs w:val="21"/>
          <w:highlight w:val="none"/>
        </w:rPr>
        <w:t>签署</w:t>
      </w:r>
      <w:r>
        <w:rPr>
          <w:rFonts w:hint="eastAsia" w:ascii="宋体" w:hAnsi="宋体" w:cs="宋体"/>
          <w:szCs w:val="21"/>
          <w:highlight w:val="none"/>
        </w:rPr>
        <w:t>，并加盖供应商公章。</w:t>
      </w:r>
    </w:p>
    <w:p>
      <w:pPr>
        <w:spacing w:line="360" w:lineRule="auto"/>
        <w:ind w:firstLine="420" w:firstLineChars="200"/>
        <w:rPr>
          <w:rFonts w:ascii="宋体" w:hAnsi="宋体" w:cs="宋体"/>
          <w:szCs w:val="21"/>
          <w:highlight w:val="none"/>
        </w:rPr>
      </w:pPr>
      <w:r>
        <w:rPr>
          <w:rFonts w:ascii="宋体" w:hAnsi="宋体" w:cs="宋体"/>
          <w:szCs w:val="21"/>
          <w:highlight w:val="none"/>
        </w:rPr>
        <w:t>16.3</w:t>
      </w:r>
      <w:r>
        <w:rPr>
          <w:rFonts w:hint="eastAsia" w:ascii="宋体" w:hAnsi="宋体" w:cs="宋体"/>
          <w:szCs w:val="21"/>
          <w:highlight w:val="none"/>
        </w:rPr>
        <w:t>、</w:t>
      </w:r>
      <w:r>
        <w:rPr>
          <w:rFonts w:hint="eastAsia" w:ascii="宋体" w:hAnsi="宋体" w:cs="宋体"/>
          <w:color w:val="000000"/>
          <w:szCs w:val="21"/>
          <w:highlight w:val="none"/>
        </w:rPr>
        <w:t>响应文件不得行间插字、涂改或增删。</w:t>
      </w:r>
      <w:r>
        <w:rPr>
          <w:rFonts w:hint="eastAsia" w:ascii="宋体" w:hAnsi="宋体" w:cs="宋体"/>
          <w:color w:val="000000"/>
          <w:szCs w:val="21"/>
          <w:highlight w:val="none"/>
        </w:rPr>
        <w:t>如有修改错漏处，必须由供应商的法定代表人或委托代理人签字，并加盖供应商公章。</w:t>
      </w:r>
    </w:p>
    <w:p>
      <w:pPr>
        <w:spacing w:line="360" w:lineRule="auto"/>
        <w:ind w:firstLine="420" w:firstLineChars="200"/>
        <w:rPr>
          <w:rFonts w:hAnsi="宋体" w:cs="宋体"/>
          <w:spacing w:val="-2"/>
          <w:highlight w:val="none"/>
        </w:rPr>
      </w:pPr>
      <w:r>
        <w:rPr>
          <w:rFonts w:ascii="宋体" w:hAnsi="宋体" w:cs="宋体"/>
          <w:szCs w:val="21"/>
          <w:highlight w:val="none"/>
        </w:rPr>
        <w:t>16.4</w:t>
      </w:r>
      <w:r>
        <w:rPr>
          <w:rFonts w:hint="eastAsia" w:ascii="宋体" w:hAnsi="宋体" w:cs="宋体"/>
          <w:szCs w:val="21"/>
          <w:highlight w:val="none"/>
        </w:rPr>
        <w:t>、</w:t>
      </w:r>
      <w:bookmarkStart w:id="72" w:name="_Toc476584424"/>
      <w:r>
        <w:rPr>
          <w:rFonts w:hint="eastAsia" w:hAnsi="宋体" w:cs="宋体"/>
          <w:b/>
          <w:highlight w:val="none"/>
        </w:rPr>
        <w:t>响应文件封面、磋商响应函</w:t>
      </w:r>
      <w:r>
        <w:rPr>
          <w:rFonts w:hint="eastAsia" w:hAnsi="宋体" w:cs="宋体"/>
          <w:b/>
          <w:spacing w:val="-2"/>
          <w:highlight w:val="none"/>
        </w:rPr>
        <w:t>、服务报价表、最后报价表、服务内容及质量要求响应表</w:t>
      </w:r>
      <w:r>
        <w:rPr>
          <w:rFonts w:hint="eastAsia" w:hAnsi="宋体" w:cs="宋体"/>
          <w:b/>
          <w:highlight w:val="none"/>
        </w:rPr>
        <w:t>均应加盖供应商公章并经法定代表人或委托代理人签字或加盖印章。</w:t>
      </w:r>
      <w:r>
        <w:rPr>
          <w:rFonts w:hint="eastAsia" w:hAnsi="宋体" w:cs="宋体"/>
          <w:bCs/>
          <w:highlight w:val="none"/>
        </w:rPr>
        <w:t>由委托代理人现场参加磋商活动的在磋商响应文件中须同时提交授权书。</w:t>
      </w:r>
      <w:r>
        <w:rPr>
          <w:rFonts w:hint="eastAsia" w:hAnsi="宋体" w:cs="宋体"/>
          <w:b/>
          <w:highlight w:val="none"/>
        </w:rPr>
        <w:t>响应</w:t>
      </w:r>
      <w:r>
        <w:rPr>
          <w:rFonts w:hint="eastAsia" w:hAnsi="宋体" w:cs="宋体"/>
          <w:b/>
          <w:spacing w:val="-2"/>
          <w:highlight w:val="none"/>
        </w:rPr>
        <w:t>文件封面、磋商响应函、服务报价表、最后报价表、服务内容及质量要求响应表、授权书的签字或盖章不符合磋商文件要求的，磋商小组可要求其法定代表人或其委托的委托代理人补齐签字或承诺在签订合同前按照磋商文件要求加盖印章。</w:t>
      </w:r>
    </w:p>
    <w:p>
      <w:pPr>
        <w:pStyle w:val="5"/>
        <w:rPr>
          <w:rFonts w:cs="宋体"/>
          <w:highlight w:val="none"/>
        </w:rPr>
      </w:pPr>
      <w:bookmarkStart w:id="73" w:name="_Toc10023"/>
      <w:r>
        <w:rPr>
          <w:rFonts w:hint="eastAsia" w:cs="宋体"/>
          <w:highlight w:val="none"/>
        </w:rPr>
        <w:t>四、响应文件的</w:t>
      </w:r>
      <w:bookmarkEnd w:id="72"/>
      <w:r>
        <w:rPr>
          <w:rFonts w:hint="eastAsia" w:cs="宋体"/>
          <w:highlight w:val="none"/>
        </w:rPr>
        <w:t>提交</w:t>
      </w:r>
      <w:bookmarkEnd w:id="73"/>
    </w:p>
    <w:p>
      <w:pPr>
        <w:spacing w:line="360" w:lineRule="auto"/>
        <w:ind w:firstLine="422" w:firstLineChars="200"/>
        <w:rPr>
          <w:rFonts w:ascii="宋体" w:hAnsi="宋体" w:cs="宋体"/>
          <w:b/>
          <w:szCs w:val="21"/>
          <w:highlight w:val="none"/>
        </w:rPr>
      </w:pPr>
      <w:r>
        <w:rPr>
          <w:rFonts w:ascii="宋体" w:hAnsi="宋体" w:cs="宋体"/>
          <w:b/>
          <w:szCs w:val="21"/>
          <w:highlight w:val="none"/>
        </w:rPr>
        <w:t>17</w:t>
      </w:r>
      <w:r>
        <w:rPr>
          <w:rFonts w:hint="eastAsia" w:ascii="宋体" w:hAnsi="宋体" w:cs="宋体"/>
          <w:b/>
          <w:szCs w:val="21"/>
          <w:highlight w:val="none"/>
        </w:rPr>
        <w:t>、提交说明</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17.1响应文件需采用固定胶装方式装订并编码，不得采用活页装订。</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17.2供应商应将响应文件的正本、副本同时密封于一个文件袋内。包装密封，并在密封袋上加盖供应商公章。</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17.3密封袋上应写明：</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项目名称：</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采购人名称：</w:t>
      </w:r>
    </w:p>
    <w:p>
      <w:pPr>
        <w:spacing w:line="360" w:lineRule="auto"/>
        <w:ind w:firstLine="420" w:firstLineChars="200"/>
        <w:rPr>
          <w:rFonts w:ascii="宋体" w:hAnsi="宋体" w:cs="宋体"/>
          <w:szCs w:val="21"/>
          <w:highlight w:val="none"/>
        </w:rPr>
      </w:pPr>
      <w:r>
        <w:rPr>
          <w:rFonts w:hint="eastAsia" w:ascii="宋体" w:hAnsi="宋体" w:cs="宋体"/>
          <w:szCs w:val="21"/>
          <w:highlight w:val="none"/>
        </w:rPr>
        <w:t>供应商名称（加盖供应商公章）。</w:t>
      </w:r>
    </w:p>
    <w:p>
      <w:pPr>
        <w:spacing w:line="360" w:lineRule="auto"/>
        <w:ind w:firstLine="420" w:firstLineChars="200"/>
        <w:rPr>
          <w:rFonts w:ascii="宋体" w:hAnsi="宋体" w:cs="宋体"/>
          <w:color w:val="000000"/>
          <w:szCs w:val="21"/>
          <w:highlight w:val="none"/>
        </w:rPr>
      </w:pPr>
      <w:r>
        <w:rPr>
          <w:rFonts w:hint="eastAsia" w:ascii="宋体" w:hAnsi="宋体" w:cs="宋体"/>
          <w:szCs w:val="21"/>
          <w:highlight w:val="none"/>
        </w:rPr>
        <w:t>17.4未按上述要求装订、密封和标记的响应文件，将不被接受。</w:t>
      </w:r>
    </w:p>
    <w:p>
      <w:pPr>
        <w:spacing w:line="360" w:lineRule="auto"/>
        <w:ind w:firstLine="422" w:firstLineChars="200"/>
        <w:rPr>
          <w:rFonts w:ascii="宋体" w:cs="宋体"/>
          <w:b/>
          <w:szCs w:val="21"/>
          <w:highlight w:val="none"/>
        </w:rPr>
      </w:pPr>
      <w:r>
        <w:rPr>
          <w:rFonts w:ascii="宋体" w:hAnsi="宋体" w:cs="宋体"/>
          <w:b/>
          <w:szCs w:val="21"/>
          <w:highlight w:val="none"/>
        </w:rPr>
        <w:t>18</w:t>
      </w:r>
      <w:r>
        <w:rPr>
          <w:rFonts w:hint="eastAsia" w:ascii="宋体" w:hAnsi="宋体" w:cs="宋体"/>
          <w:b/>
          <w:szCs w:val="21"/>
          <w:highlight w:val="none"/>
        </w:rPr>
        <w:t>、磋商时间</w:t>
      </w:r>
    </w:p>
    <w:p>
      <w:pPr>
        <w:widowControl/>
        <w:spacing w:line="5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18.1、供应商应在磋商须知前附表中约定的提交响应文件截止时间前将</w:t>
      </w:r>
      <w:r>
        <w:rPr>
          <w:rFonts w:hint="eastAsia" w:ascii="宋体" w:hAnsi="宋体" w:cs="宋体"/>
          <w:szCs w:val="21"/>
          <w:highlight w:val="none"/>
        </w:rPr>
        <w:t>响应文件提交至指定地点。逾期送达或者未按要求送达指定地点的响应文件，采购单位不予受理</w:t>
      </w:r>
      <w:r>
        <w:rPr>
          <w:rFonts w:hint="eastAsia" w:ascii="宋体" w:hAnsi="宋体" w:cs="宋体"/>
          <w:color w:val="000000"/>
          <w:szCs w:val="21"/>
          <w:highlight w:val="none"/>
        </w:rPr>
        <w:t>。</w:t>
      </w:r>
    </w:p>
    <w:p>
      <w:pPr>
        <w:widowControl/>
        <w:spacing w:line="5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18.2、采购人有权按本须知的约定，通过修改磋商文件相关条款以延长提交响应文件截止时间。在此情况下，采购人和供应商受提交响应文件截止时间制约的所有权利和义务均应延长至新的提交响应文件截止时间。</w:t>
      </w:r>
    </w:p>
    <w:p>
      <w:pPr>
        <w:spacing w:line="360" w:lineRule="auto"/>
        <w:ind w:firstLine="422" w:firstLineChars="200"/>
        <w:rPr>
          <w:rFonts w:ascii="宋体" w:cs="宋体"/>
          <w:b/>
          <w:szCs w:val="21"/>
          <w:highlight w:val="none"/>
        </w:rPr>
      </w:pPr>
      <w:r>
        <w:rPr>
          <w:rFonts w:ascii="宋体" w:hAnsi="宋体" w:cs="宋体"/>
          <w:b/>
          <w:szCs w:val="21"/>
          <w:highlight w:val="none"/>
        </w:rPr>
        <w:t>19</w:t>
      </w:r>
      <w:r>
        <w:rPr>
          <w:rFonts w:hint="eastAsia" w:ascii="宋体" w:hAnsi="宋体" w:cs="宋体"/>
          <w:b/>
          <w:szCs w:val="21"/>
          <w:highlight w:val="none"/>
        </w:rPr>
        <w:t>、响应文件的修改与撤回</w:t>
      </w:r>
    </w:p>
    <w:p>
      <w:pPr>
        <w:widowControl/>
        <w:spacing w:line="5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19.1、供应商提交响应文件以后，在约定的提交响应文件截止时间之前，</w:t>
      </w:r>
      <w:r>
        <w:rPr>
          <w:rFonts w:hint="eastAsia" w:ascii="宋体" w:hAnsi="宋体" w:cs="宋体"/>
          <w:szCs w:val="21"/>
          <w:highlight w:val="none"/>
        </w:rPr>
        <w:t>可以以书面形式补充、修改或撤回已提交的响应文件，并以书面形式通知采购人。补充、修改的内容为响应文件的组成部分。</w:t>
      </w:r>
    </w:p>
    <w:p>
      <w:pPr>
        <w:widowControl/>
        <w:spacing w:line="500" w:lineRule="exact"/>
        <w:ind w:firstLine="420" w:firstLineChars="200"/>
        <w:jc w:val="left"/>
        <w:rPr>
          <w:rFonts w:ascii="宋体" w:hAnsi="宋体" w:cs="宋体"/>
          <w:szCs w:val="21"/>
          <w:highlight w:val="none"/>
        </w:rPr>
      </w:pPr>
      <w:bookmarkStart w:id="74" w:name="_Toc476584425"/>
      <w:r>
        <w:rPr>
          <w:rFonts w:hint="eastAsia" w:ascii="宋体" w:hAnsi="宋体" w:cs="宋体"/>
          <w:szCs w:val="21"/>
          <w:highlight w:val="none"/>
        </w:rPr>
        <w:t>19.2、供应商对响应文件的补充、修改或撤回通知，应按供应商须知17条有关约定密封、标记和提交，并在响应文件密封袋上清楚标明“补充、修改”或“撤回”字样。否则，补充、修改或撤回通知无效。</w:t>
      </w:r>
    </w:p>
    <w:p>
      <w:pPr>
        <w:widowControl/>
        <w:spacing w:line="500" w:lineRule="exact"/>
        <w:ind w:firstLine="420" w:firstLineChars="200"/>
        <w:jc w:val="left"/>
        <w:rPr>
          <w:rFonts w:ascii="宋体" w:hAnsi="宋体" w:cs="宋体"/>
          <w:szCs w:val="21"/>
          <w:highlight w:val="none"/>
        </w:rPr>
      </w:pPr>
      <w:r>
        <w:rPr>
          <w:rFonts w:hint="eastAsia" w:ascii="宋体" w:hAnsi="宋体" w:cs="宋体"/>
          <w:szCs w:val="21"/>
          <w:highlight w:val="none"/>
        </w:rPr>
        <w:t>19.3、在规定的响应文件截止时间之后，供应商不得补充、修改磋商文件。</w:t>
      </w:r>
    </w:p>
    <w:p>
      <w:pPr>
        <w:pStyle w:val="5"/>
        <w:spacing w:line="360" w:lineRule="auto"/>
        <w:ind w:firstLine="551" w:firstLineChars="196"/>
        <w:rPr>
          <w:rFonts w:cs="宋体"/>
          <w:highlight w:val="none"/>
        </w:rPr>
      </w:pPr>
      <w:bookmarkStart w:id="75" w:name="_Toc19923"/>
      <w:r>
        <w:rPr>
          <w:rFonts w:hint="eastAsia" w:cs="宋体"/>
          <w:highlight w:val="none"/>
        </w:rPr>
        <w:t>五、</w:t>
      </w:r>
      <w:bookmarkEnd w:id="74"/>
      <w:r>
        <w:rPr>
          <w:rFonts w:hint="eastAsia" w:cs="宋体"/>
          <w:highlight w:val="none"/>
        </w:rPr>
        <w:t>磋商</w:t>
      </w:r>
      <w:bookmarkEnd w:id="75"/>
    </w:p>
    <w:p>
      <w:pPr>
        <w:spacing w:line="360" w:lineRule="auto"/>
        <w:ind w:firstLine="422" w:firstLineChars="200"/>
        <w:rPr>
          <w:rFonts w:ascii="宋体" w:cs="宋体"/>
          <w:szCs w:val="21"/>
          <w:highlight w:val="none"/>
        </w:rPr>
      </w:pPr>
      <w:r>
        <w:rPr>
          <w:rFonts w:ascii="宋体" w:hAnsi="宋体" w:cs="宋体"/>
          <w:b/>
          <w:szCs w:val="21"/>
          <w:highlight w:val="none"/>
        </w:rPr>
        <w:t>20</w:t>
      </w:r>
      <w:r>
        <w:rPr>
          <w:rFonts w:hint="eastAsia" w:ascii="宋体" w:hAnsi="宋体" w:cs="宋体"/>
          <w:b/>
          <w:szCs w:val="21"/>
          <w:highlight w:val="none"/>
        </w:rPr>
        <w:t>、磋商时间和地点：</w:t>
      </w:r>
      <w:r>
        <w:rPr>
          <w:rFonts w:hint="eastAsia" w:ascii="宋体" w:hAnsi="宋体" w:cs="宋体"/>
          <w:szCs w:val="21"/>
          <w:highlight w:val="none"/>
        </w:rPr>
        <w:t>采购单位将在“磋商须知前附表”约定的时间和地点磋商，</w:t>
      </w:r>
      <w:r>
        <w:rPr>
          <w:rFonts w:hint="eastAsia" w:ascii="宋体" w:hAnsi="宋体"/>
          <w:szCs w:val="21"/>
          <w:highlight w:val="none"/>
        </w:rPr>
        <w:t>并邀请监督人员、</w:t>
      </w:r>
      <w:r>
        <w:rPr>
          <w:rFonts w:hint="eastAsia" w:ascii="宋体" w:hAnsi="宋体" w:cs="宋体"/>
          <w:szCs w:val="21"/>
          <w:highlight w:val="none"/>
        </w:rPr>
        <w:t>所有供应商的法定代表人或其委托代理人按时参加。</w:t>
      </w:r>
    </w:p>
    <w:p>
      <w:pPr>
        <w:spacing w:line="360" w:lineRule="auto"/>
        <w:ind w:firstLine="422" w:firstLineChars="200"/>
        <w:rPr>
          <w:rFonts w:ascii="宋体" w:cs="宋体"/>
          <w:b/>
          <w:szCs w:val="21"/>
          <w:highlight w:val="none"/>
        </w:rPr>
      </w:pPr>
      <w:r>
        <w:rPr>
          <w:rFonts w:ascii="宋体" w:hAnsi="宋体" w:cs="宋体"/>
          <w:b/>
          <w:szCs w:val="21"/>
          <w:highlight w:val="none"/>
        </w:rPr>
        <w:t>21</w:t>
      </w:r>
      <w:r>
        <w:rPr>
          <w:rFonts w:hint="eastAsia" w:ascii="宋体" w:hAnsi="宋体" w:cs="宋体"/>
          <w:b/>
          <w:szCs w:val="21"/>
          <w:highlight w:val="none"/>
        </w:rPr>
        <w:t>、开标程序</w:t>
      </w:r>
    </w:p>
    <w:p>
      <w:pPr>
        <w:pStyle w:val="29"/>
        <w:spacing w:line="480" w:lineRule="exact"/>
        <w:ind w:firstLine="420" w:firstLineChars="200"/>
        <w:rPr>
          <w:rFonts w:hAnsi="宋体"/>
          <w:highlight w:val="none"/>
        </w:rPr>
      </w:pPr>
      <w:r>
        <w:rPr>
          <w:rFonts w:hAnsi="宋体"/>
          <w:highlight w:val="none"/>
        </w:rPr>
        <w:t>21.1</w:t>
      </w:r>
      <w:r>
        <w:rPr>
          <w:rFonts w:hint="eastAsia" w:hAnsi="宋体"/>
          <w:highlight w:val="none"/>
        </w:rPr>
        <w:t>磋商由采购单位代表主持，主持人按下列程序进行：</w:t>
      </w:r>
    </w:p>
    <w:p>
      <w:pPr>
        <w:pStyle w:val="29"/>
        <w:spacing w:line="480" w:lineRule="exact"/>
        <w:ind w:left="420" w:leftChars="200"/>
        <w:rPr>
          <w:rFonts w:hAnsi="宋体" w:cs="宋体"/>
          <w:color w:val="000000"/>
          <w:highlight w:val="none"/>
        </w:rPr>
      </w:pPr>
      <w:r>
        <w:rPr>
          <w:rFonts w:hAnsi="宋体"/>
          <w:highlight w:val="none"/>
        </w:rPr>
        <w:t>21.1.1</w:t>
      </w:r>
      <w:r>
        <w:rPr>
          <w:rFonts w:hint="eastAsia" w:hAnsi="宋体" w:cs="宋体"/>
          <w:color w:val="000000"/>
          <w:highlight w:val="none"/>
        </w:rPr>
        <w:t>宣布项目名称、介绍参会人员；</w:t>
      </w:r>
    </w:p>
    <w:p>
      <w:pPr>
        <w:pStyle w:val="29"/>
        <w:spacing w:line="480" w:lineRule="exact"/>
        <w:ind w:left="420" w:leftChars="200"/>
        <w:rPr>
          <w:rFonts w:hAnsi="宋体"/>
          <w:highlight w:val="none"/>
        </w:rPr>
      </w:pPr>
      <w:r>
        <w:rPr>
          <w:rFonts w:hint="eastAsia" w:hAnsi="宋体" w:cs="宋体"/>
          <w:color w:val="000000"/>
          <w:highlight w:val="none"/>
        </w:rPr>
        <w:t>21.1.2</w:t>
      </w:r>
      <w:r>
        <w:rPr>
          <w:rFonts w:hint="eastAsia" w:hAnsi="宋体"/>
          <w:highlight w:val="none"/>
        </w:rPr>
        <w:t>宣布磋商纪律；</w:t>
      </w:r>
    </w:p>
    <w:p>
      <w:pPr>
        <w:pStyle w:val="29"/>
        <w:spacing w:line="480" w:lineRule="exact"/>
        <w:ind w:left="420" w:leftChars="200"/>
        <w:rPr>
          <w:rFonts w:hAnsi="宋体"/>
          <w:highlight w:val="none"/>
        </w:rPr>
      </w:pPr>
      <w:r>
        <w:rPr>
          <w:rFonts w:hAnsi="宋体"/>
          <w:highlight w:val="none"/>
        </w:rPr>
        <w:t>21.1.</w:t>
      </w:r>
      <w:r>
        <w:rPr>
          <w:rFonts w:hint="eastAsia" w:hAnsi="宋体"/>
          <w:highlight w:val="none"/>
        </w:rPr>
        <w:t>3由采购人代表查验供应商相关证件资料并检查响应文件的密封情况；</w:t>
      </w:r>
    </w:p>
    <w:p>
      <w:pPr>
        <w:pStyle w:val="29"/>
        <w:spacing w:line="480" w:lineRule="exact"/>
        <w:ind w:left="420" w:leftChars="200"/>
        <w:rPr>
          <w:rFonts w:hAnsi="宋体"/>
          <w:highlight w:val="none"/>
        </w:rPr>
      </w:pPr>
      <w:r>
        <w:rPr>
          <w:rFonts w:hAnsi="宋体"/>
          <w:highlight w:val="none"/>
        </w:rPr>
        <w:t>21.1.</w:t>
      </w:r>
      <w:r>
        <w:rPr>
          <w:rFonts w:hint="eastAsia" w:hAnsi="宋体"/>
          <w:highlight w:val="none"/>
        </w:rPr>
        <w:t>4</w:t>
      </w:r>
      <w:r>
        <w:rPr>
          <w:rFonts w:hint="eastAsia" w:hAnsi="宋体" w:cs="宋体"/>
          <w:highlight w:val="none"/>
        </w:rPr>
        <w:t>现场开启响应文件</w:t>
      </w:r>
      <w:r>
        <w:rPr>
          <w:rFonts w:hint="eastAsia" w:hAnsi="宋体"/>
          <w:highlight w:val="none"/>
        </w:rPr>
        <w:t>；</w:t>
      </w:r>
    </w:p>
    <w:p>
      <w:pPr>
        <w:widowControl/>
        <w:spacing w:line="500" w:lineRule="exact"/>
        <w:ind w:firstLine="420" w:firstLineChars="200"/>
        <w:jc w:val="left"/>
        <w:rPr>
          <w:rFonts w:ascii="宋体" w:hAnsi="宋体" w:cs="宋体"/>
          <w:color w:val="000000"/>
          <w:szCs w:val="21"/>
          <w:highlight w:val="none"/>
        </w:rPr>
      </w:pPr>
      <w:r>
        <w:rPr>
          <w:rFonts w:ascii="宋体" w:hAnsi="宋体" w:cs="Courier New"/>
          <w:szCs w:val="21"/>
          <w:highlight w:val="none"/>
        </w:rPr>
        <w:t>21.1.</w:t>
      </w:r>
      <w:r>
        <w:rPr>
          <w:rFonts w:hint="eastAsia" w:ascii="宋体" w:hAnsi="宋体" w:cs="Courier New"/>
          <w:szCs w:val="21"/>
          <w:highlight w:val="none"/>
        </w:rPr>
        <w:t>5采购人代表、记录人等有关人员在开标记录表上签字确认</w:t>
      </w:r>
      <w:r>
        <w:rPr>
          <w:rFonts w:hint="eastAsia" w:ascii="宋体" w:hAnsi="宋体" w:cs="宋体"/>
          <w:szCs w:val="21"/>
          <w:highlight w:val="none"/>
        </w:rPr>
        <w:t>；</w:t>
      </w:r>
    </w:p>
    <w:p>
      <w:pPr>
        <w:pStyle w:val="29"/>
        <w:spacing w:line="480" w:lineRule="exact"/>
        <w:ind w:left="420" w:leftChars="200"/>
        <w:rPr>
          <w:rFonts w:hAnsi="宋体"/>
          <w:highlight w:val="none"/>
        </w:rPr>
      </w:pPr>
      <w:r>
        <w:rPr>
          <w:rFonts w:hint="eastAsia" w:hAnsi="宋体" w:cs="宋体"/>
          <w:color w:val="000000"/>
          <w:highlight w:val="none"/>
        </w:rPr>
        <w:t>21.1.6</w:t>
      </w:r>
      <w:r>
        <w:rPr>
          <w:rFonts w:hint="eastAsia" w:hAnsi="宋体"/>
          <w:highlight w:val="none"/>
        </w:rPr>
        <w:t>暂时休会，进入评审阶段</w:t>
      </w:r>
      <w:r>
        <w:rPr>
          <w:rFonts w:hint="eastAsia" w:hAnsi="宋体" w:cs="宋体"/>
          <w:color w:val="000000"/>
          <w:highlight w:val="none"/>
        </w:rPr>
        <w:t>；</w:t>
      </w:r>
      <w:r>
        <w:rPr>
          <w:rFonts w:hint="eastAsia" w:hAnsi="宋体" w:cs="宋体"/>
          <w:color w:val="000000"/>
          <w:highlight w:val="none"/>
        </w:rPr>
        <w:cr/>
      </w:r>
      <w:r>
        <w:rPr>
          <w:rFonts w:hAnsi="宋体"/>
          <w:highlight w:val="none"/>
        </w:rPr>
        <w:t>21.1.</w:t>
      </w:r>
      <w:r>
        <w:rPr>
          <w:rFonts w:hint="eastAsia" w:hAnsi="宋体"/>
          <w:highlight w:val="none"/>
        </w:rPr>
        <w:t>7磋商小组对响应文件进行详细评审；</w:t>
      </w:r>
    </w:p>
    <w:p>
      <w:pPr>
        <w:pStyle w:val="29"/>
        <w:spacing w:line="480" w:lineRule="exact"/>
        <w:ind w:left="420" w:leftChars="200"/>
        <w:rPr>
          <w:rFonts w:hAnsi="宋体"/>
          <w:highlight w:val="none"/>
        </w:rPr>
      </w:pPr>
      <w:r>
        <w:rPr>
          <w:rFonts w:hAnsi="宋体"/>
          <w:highlight w:val="none"/>
        </w:rPr>
        <w:t>21.1.</w:t>
      </w:r>
      <w:r>
        <w:rPr>
          <w:rFonts w:hint="eastAsia" w:hAnsi="宋体"/>
          <w:highlight w:val="none"/>
        </w:rPr>
        <w:t>8磋商小组集中与各供应商分别进行磋商；</w:t>
      </w:r>
    </w:p>
    <w:p>
      <w:pPr>
        <w:pStyle w:val="29"/>
        <w:spacing w:line="480" w:lineRule="exact"/>
        <w:ind w:left="420" w:leftChars="200"/>
        <w:rPr>
          <w:rFonts w:hAnsi="宋体"/>
          <w:highlight w:val="none"/>
        </w:rPr>
      </w:pPr>
      <w:r>
        <w:rPr>
          <w:rFonts w:hAnsi="宋体"/>
          <w:highlight w:val="none"/>
        </w:rPr>
        <w:t>21.1.</w:t>
      </w:r>
      <w:r>
        <w:rPr>
          <w:rFonts w:hint="eastAsia" w:hAnsi="宋体"/>
          <w:highlight w:val="none"/>
        </w:rPr>
        <w:t>9实质性响应磋商文件的供应商进行最后报价；</w:t>
      </w:r>
    </w:p>
    <w:p>
      <w:pPr>
        <w:pStyle w:val="29"/>
        <w:spacing w:line="480" w:lineRule="exact"/>
        <w:ind w:left="420" w:leftChars="200"/>
        <w:rPr>
          <w:rFonts w:hAnsi="宋体"/>
          <w:highlight w:val="none"/>
        </w:rPr>
      </w:pPr>
      <w:r>
        <w:rPr>
          <w:rFonts w:hAnsi="宋体"/>
          <w:highlight w:val="none"/>
        </w:rPr>
        <w:t>21.1.</w:t>
      </w:r>
      <w:r>
        <w:rPr>
          <w:rFonts w:hint="eastAsia" w:hAnsi="宋体"/>
          <w:highlight w:val="none"/>
        </w:rPr>
        <w:t>10磋商小组进行综合评分并编写评审报告；</w:t>
      </w:r>
    </w:p>
    <w:p>
      <w:pPr>
        <w:pStyle w:val="29"/>
        <w:spacing w:line="480" w:lineRule="exact"/>
        <w:ind w:left="420" w:leftChars="200"/>
        <w:rPr>
          <w:rFonts w:hAnsi="宋体"/>
          <w:highlight w:val="none"/>
        </w:rPr>
      </w:pPr>
      <w:r>
        <w:rPr>
          <w:rFonts w:hAnsi="宋体"/>
          <w:highlight w:val="none"/>
        </w:rPr>
        <w:t>21.1.1</w:t>
      </w:r>
      <w:r>
        <w:rPr>
          <w:rFonts w:hint="eastAsia" w:hAnsi="宋体"/>
          <w:highlight w:val="none"/>
        </w:rPr>
        <w:t>1复会，宣布评审结果；</w:t>
      </w:r>
    </w:p>
    <w:p>
      <w:pPr>
        <w:pStyle w:val="29"/>
        <w:spacing w:line="480" w:lineRule="exact"/>
        <w:ind w:left="420" w:leftChars="200"/>
        <w:rPr>
          <w:rFonts w:hAnsi="宋体"/>
          <w:highlight w:val="none"/>
        </w:rPr>
      </w:pPr>
      <w:r>
        <w:rPr>
          <w:rFonts w:hAnsi="宋体"/>
          <w:highlight w:val="none"/>
        </w:rPr>
        <w:t>21.1.1</w:t>
      </w:r>
      <w:r>
        <w:rPr>
          <w:rFonts w:hint="eastAsia" w:hAnsi="宋体"/>
          <w:highlight w:val="none"/>
        </w:rPr>
        <w:t>2磋商结束</w:t>
      </w:r>
    </w:p>
    <w:p>
      <w:pPr>
        <w:spacing w:line="360" w:lineRule="auto"/>
        <w:ind w:firstLine="422" w:firstLineChars="200"/>
        <w:rPr>
          <w:rFonts w:ascii="宋体" w:cs="宋体"/>
          <w:b/>
          <w:szCs w:val="21"/>
          <w:highlight w:val="none"/>
        </w:rPr>
      </w:pPr>
      <w:r>
        <w:rPr>
          <w:rFonts w:ascii="宋体" w:hAnsi="宋体" w:cs="宋体"/>
          <w:b/>
          <w:szCs w:val="21"/>
          <w:highlight w:val="none"/>
        </w:rPr>
        <w:t>21.2</w:t>
      </w:r>
      <w:r>
        <w:rPr>
          <w:rFonts w:hint="eastAsia" w:ascii="宋体" w:hAnsi="宋体" w:cs="宋体"/>
          <w:b/>
          <w:szCs w:val="21"/>
          <w:highlight w:val="none"/>
        </w:rPr>
        <w:t>、查验证件</w:t>
      </w:r>
    </w:p>
    <w:p>
      <w:pPr>
        <w:spacing w:line="360" w:lineRule="auto"/>
        <w:ind w:firstLine="420" w:firstLineChars="200"/>
        <w:rPr>
          <w:rFonts w:ascii="宋体" w:hAnsi="宋体" w:cs="宋体"/>
          <w:b/>
          <w:szCs w:val="21"/>
          <w:highlight w:val="none"/>
        </w:rPr>
      </w:pPr>
      <w:r>
        <w:rPr>
          <w:rFonts w:ascii="宋体" w:hAnsi="宋体" w:cs="宋体"/>
          <w:bCs/>
          <w:szCs w:val="21"/>
          <w:highlight w:val="none"/>
        </w:rPr>
        <w:t>21.2.1</w:t>
      </w:r>
      <w:r>
        <w:rPr>
          <w:rFonts w:hint="eastAsia" w:ascii="宋体" w:hAnsi="宋体" w:cs="宋体"/>
          <w:bCs/>
          <w:szCs w:val="21"/>
          <w:highlight w:val="none"/>
        </w:rPr>
        <w:t>、采购单位审查供应商以下证件，若证件不全或不符合要求，则查验不合格,由磋商小组认定其响应无效。</w:t>
      </w:r>
    </w:p>
    <w:p>
      <w:pPr>
        <w:spacing w:line="360" w:lineRule="auto"/>
        <w:ind w:firstLine="422" w:firstLineChars="200"/>
        <w:rPr>
          <w:rFonts w:ascii="宋体" w:hAnsi="宋体" w:cs="宋体"/>
          <w:b/>
          <w:szCs w:val="21"/>
          <w:highlight w:val="none"/>
        </w:rPr>
      </w:pPr>
      <w:r>
        <w:rPr>
          <w:rFonts w:hint="eastAsia" w:ascii="宋体" w:hAnsi="宋体" w:cs="宋体"/>
          <w:b/>
          <w:szCs w:val="21"/>
          <w:highlight w:val="none"/>
        </w:rPr>
        <w:t>法定代表人应出示身份证明、营业执照复印件或委托代理人应出示授权书；（授权书格式见附件）。</w:t>
      </w:r>
    </w:p>
    <w:p>
      <w:pPr>
        <w:spacing w:line="360" w:lineRule="auto"/>
        <w:ind w:firstLine="422" w:firstLineChars="200"/>
        <w:rPr>
          <w:rFonts w:ascii="宋体" w:hAnsi="宋体" w:cs="宋体"/>
          <w:szCs w:val="21"/>
          <w:highlight w:val="none"/>
        </w:rPr>
      </w:pPr>
      <w:r>
        <w:rPr>
          <w:rFonts w:ascii="宋体" w:hAnsi="宋体" w:cs="宋体"/>
          <w:b/>
          <w:szCs w:val="21"/>
          <w:highlight w:val="none"/>
        </w:rPr>
        <w:t>21.2</w:t>
      </w:r>
      <w:r>
        <w:rPr>
          <w:rFonts w:hint="eastAsia" w:ascii="宋体" w:hAnsi="宋体" w:cs="宋体"/>
          <w:b/>
          <w:szCs w:val="21"/>
          <w:highlight w:val="none"/>
        </w:rPr>
        <w:t>.</w:t>
      </w:r>
      <w:r>
        <w:rPr>
          <w:rFonts w:ascii="宋体" w:hAnsi="宋体" w:cs="宋体"/>
          <w:b/>
          <w:szCs w:val="21"/>
          <w:highlight w:val="none"/>
        </w:rPr>
        <w:t>2</w:t>
      </w:r>
      <w:r>
        <w:rPr>
          <w:rFonts w:hint="eastAsia" w:ascii="宋体" w:hAnsi="宋体" w:cs="宋体"/>
          <w:b/>
          <w:szCs w:val="21"/>
          <w:highlight w:val="none"/>
        </w:rPr>
        <w:t>、</w:t>
      </w:r>
      <w:r>
        <w:rPr>
          <w:rFonts w:hint="eastAsia" w:ascii="宋体" w:hAnsi="宋体" w:cs="宋体"/>
          <w:szCs w:val="21"/>
          <w:highlight w:val="none"/>
        </w:rPr>
        <w:t>供应商必须对其响应文件中所有资料的真实性负责。若发现供应商有弄虚作假行为的，响应无效，由相关管理部门按照磋商文件相应条款对其做相应处罚。</w:t>
      </w:r>
    </w:p>
    <w:p>
      <w:pPr>
        <w:spacing w:line="360" w:lineRule="auto"/>
        <w:ind w:left="420" w:leftChars="200"/>
        <w:rPr>
          <w:rFonts w:ascii="宋体" w:cs="宋体"/>
          <w:b/>
          <w:szCs w:val="21"/>
          <w:highlight w:val="none"/>
        </w:rPr>
      </w:pPr>
      <w:r>
        <w:rPr>
          <w:rFonts w:ascii="宋体" w:hAnsi="宋体" w:cs="宋体"/>
          <w:b/>
          <w:szCs w:val="21"/>
          <w:highlight w:val="none"/>
        </w:rPr>
        <w:t>22</w:t>
      </w:r>
      <w:r>
        <w:rPr>
          <w:rFonts w:hint="eastAsia" w:ascii="宋体" w:hAnsi="宋体" w:cs="宋体"/>
          <w:b/>
          <w:szCs w:val="21"/>
          <w:highlight w:val="none"/>
        </w:rPr>
        <w:t>、响应文件的有效性</w:t>
      </w:r>
    </w:p>
    <w:p>
      <w:pPr>
        <w:spacing w:line="360" w:lineRule="auto"/>
        <w:ind w:firstLine="420" w:firstLineChars="200"/>
        <w:rPr>
          <w:rFonts w:ascii="宋体" w:cs="宋体"/>
          <w:szCs w:val="21"/>
          <w:highlight w:val="none"/>
        </w:rPr>
      </w:pPr>
      <w:r>
        <w:rPr>
          <w:rFonts w:ascii="宋体" w:hAnsi="宋体" w:cs="宋体"/>
          <w:szCs w:val="21"/>
          <w:highlight w:val="none"/>
        </w:rPr>
        <w:t>22.1</w:t>
      </w:r>
      <w:r>
        <w:rPr>
          <w:rFonts w:hint="eastAsia" w:ascii="宋体" w:hAnsi="宋体" w:cs="宋体"/>
          <w:szCs w:val="21"/>
          <w:highlight w:val="none"/>
        </w:rPr>
        <w:t>、响应文件有下列情形之一的，将不予受理：</w:t>
      </w:r>
      <w:r>
        <w:rPr>
          <w:rFonts w:ascii="宋体" w:hAnsi="宋体" w:cs="宋体"/>
          <w:szCs w:val="21"/>
          <w:highlight w:val="none"/>
        </w:rPr>
        <w:t xml:space="preserve"> </w:t>
      </w:r>
    </w:p>
    <w:p>
      <w:pPr>
        <w:spacing w:line="420" w:lineRule="exact"/>
        <w:ind w:firstLine="420" w:firstLineChars="2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）逾期送达的或者未送达至指定地点的；</w:t>
      </w:r>
      <w:r>
        <w:rPr>
          <w:rFonts w:ascii="宋体" w:hAnsi="宋体" w:cs="宋体"/>
          <w:szCs w:val="21"/>
          <w:highlight w:val="none"/>
        </w:rPr>
        <w:t xml:space="preserve"> </w:t>
      </w:r>
    </w:p>
    <w:p>
      <w:pPr>
        <w:spacing w:line="420" w:lineRule="exact"/>
        <w:ind w:firstLine="420" w:firstLineChars="2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）未按磋商文件要求包装、密封的。</w:t>
      </w:r>
    </w:p>
    <w:p>
      <w:pPr>
        <w:spacing w:line="420" w:lineRule="exact"/>
        <w:ind w:firstLine="420" w:firstLineChars="200"/>
        <w:rPr>
          <w:rFonts w:ascii="宋体" w:cs="宋体"/>
          <w:szCs w:val="21"/>
          <w:highlight w:val="none"/>
        </w:rPr>
      </w:pPr>
      <w:r>
        <w:rPr>
          <w:rFonts w:ascii="宋体" w:hAnsi="宋体" w:cs="宋体"/>
          <w:szCs w:val="21"/>
          <w:highlight w:val="none"/>
        </w:rPr>
        <w:t>22.2</w:t>
      </w:r>
      <w:r>
        <w:rPr>
          <w:rFonts w:hint="eastAsia" w:ascii="宋体" w:hAnsi="宋体" w:cs="宋体"/>
          <w:szCs w:val="21"/>
          <w:highlight w:val="none"/>
        </w:rPr>
        <w:t>、磋商过程中发现有下列情况的，由磋商小组评审后，认定为磋商响应无效：</w:t>
      </w:r>
    </w:p>
    <w:p>
      <w:pPr>
        <w:spacing w:line="420" w:lineRule="exact"/>
        <w:ind w:firstLine="420" w:firstLineChars="200"/>
        <w:rPr>
          <w:rFonts w:ascii="宋体" w:cs="宋体"/>
          <w:szCs w:val="21"/>
          <w:highlight w:val="none"/>
        </w:rPr>
      </w:pPr>
      <w:r>
        <w:rPr>
          <w:rFonts w:ascii="宋体" w:hAnsi="宋体" w:cs="宋体"/>
          <w:szCs w:val="21"/>
          <w:highlight w:val="none"/>
        </w:rPr>
        <w:t>22.2.1</w:t>
      </w:r>
      <w:r>
        <w:rPr>
          <w:rFonts w:hint="eastAsia" w:ascii="宋体" w:hAnsi="宋体" w:cs="宋体"/>
          <w:szCs w:val="21"/>
          <w:highlight w:val="none"/>
        </w:rPr>
        <w:t>、</w:t>
      </w:r>
      <w:r>
        <w:rPr>
          <w:rFonts w:hint="eastAsia" w:ascii="宋体" w:hAnsi="宋体" w:cs="宋体"/>
          <w:color w:val="000000"/>
          <w:szCs w:val="21"/>
          <w:highlight w:val="none"/>
        </w:rPr>
        <w:t>供应商未按要求参加开标会、未按要求出示材料供现场查验或经查验不合格的；</w:t>
      </w:r>
    </w:p>
    <w:p>
      <w:pPr>
        <w:spacing w:line="420" w:lineRule="exact"/>
        <w:ind w:firstLine="420" w:firstLineChars="200"/>
        <w:rPr>
          <w:rFonts w:ascii="宋体" w:hAnsi="宋体" w:cs="宋体"/>
          <w:szCs w:val="21"/>
          <w:highlight w:val="none"/>
        </w:rPr>
      </w:pPr>
      <w:r>
        <w:rPr>
          <w:rFonts w:ascii="宋体" w:hAnsi="宋体" w:cs="宋体"/>
          <w:szCs w:val="21"/>
          <w:highlight w:val="none"/>
        </w:rPr>
        <w:t>22.2.2</w:t>
      </w:r>
      <w:r>
        <w:rPr>
          <w:rFonts w:hint="eastAsia" w:ascii="宋体" w:hAnsi="宋体" w:cs="宋体"/>
          <w:szCs w:val="21"/>
          <w:highlight w:val="none"/>
        </w:rPr>
        <w:t>、</w:t>
      </w:r>
      <w:r>
        <w:rPr>
          <w:rFonts w:hint="eastAsia" w:ascii="宋体" w:hAnsi="宋体" w:cs="宋体"/>
          <w:color w:val="000000"/>
          <w:highlight w:val="none"/>
        </w:rPr>
        <w:t>磋商响应文件封面、磋商响应函、服务报价表、最后报价表、服务内容及质量响应表</w:t>
      </w:r>
      <w:r>
        <w:rPr>
          <w:rFonts w:hint="eastAsia" w:ascii="宋体" w:hAnsi="宋体" w:cs="宋体"/>
          <w:color w:val="000000"/>
          <w:szCs w:val="21"/>
          <w:highlight w:val="none"/>
        </w:rPr>
        <w:t>不符合磋商文件要求拒绝补齐签字或拒绝承诺在合同签订前加盖印章的</w:t>
      </w:r>
      <w:r>
        <w:rPr>
          <w:rFonts w:hint="eastAsia" w:ascii="宋体" w:hAnsi="宋体" w:cs="宋体"/>
          <w:szCs w:val="21"/>
          <w:highlight w:val="none"/>
        </w:rPr>
        <w:t>；</w:t>
      </w:r>
    </w:p>
    <w:p>
      <w:pPr>
        <w:spacing w:line="420" w:lineRule="exact"/>
        <w:ind w:firstLine="420" w:firstLineChars="200"/>
        <w:rPr>
          <w:rFonts w:ascii="宋体" w:cs="宋体"/>
          <w:szCs w:val="21"/>
          <w:highlight w:val="none"/>
        </w:rPr>
      </w:pPr>
      <w:r>
        <w:rPr>
          <w:rFonts w:ascii="宋体" w:hAnsi="宋体" w:cs="宋体"/>
          <w:szCs w:val="21"/>
          <w:highlight w:val="none"/>
        </w:rPr>
        <w:t>22.2.3</w:t>
      </w:r>
      <w:r>
        <w:rPr>
          <w:rFonts w:hint="eastAsia" w:ascii="宋体" w:hAnsi="宋体" w:cs="宋体"/>
          <w:szCs w:val="21"/>
          <w:highlight w:val="none"/>
        </w:rPr>
        <w:t>、磋商报价高于最高磋商限价的；</w:t>
      </w:r>
    </w:p>
    <w:p>
      <w:pPr>
        <w:spacing w:line="420" w:lineRule="exact"/>
        <w:ind w:firstLine="420" w:firstLineChars="200"/>
        <w:rPr>
          <w:rFonts w:ascii="宋体" w:cs="宋体"/>
          <w:szCs w:val="21"/>
          <w:highlight w:val="none"/>
        </w:rPr>
      </w:pPr>
      <w:r>
        <w:rPr>
          <w:rFonts w:ascii="宋体" w:hAnsi="宋体" w:cs="宋体"/>
          <w:szCs w:val="21"/>
          <w:highlight w:val="none"/>
        </w:rPr>
        <w:t>22.2.</w:t>
      </w:r>
      <w:r>
        <w:rPr>
          <w:rFonts w:hint="eastAsia" w:ascii="宋体" w:hAnsi="宋体" w:cs="宋体"/>
          <w:szCs w:val="21"/>
          <w:highlight w:val="none"/>
        </w:rPr>
        <w:t>4、法律、法规及竞争性磋商文件约定的其它情形。</w:t>
      </w:r>
    </w:p>
    <w:p>
      <w:pPr>
        <w:widowControl/>
        <w:spacing w:line="500" w:lineRule="exact"/>
        <w:ind w:firstLine="420" w:firstLineChars="200"/>
        <w:jc w:val="left"/>
        <w:rPr>
          <w:rFonts w:ascii="宋体" w:hAnsi="宋体"/>
          <w:szCs w:val="21"/>
          <w:highlight w:val="none"/>
        </w:rPr>
      </w:pPr>
      <w:r>
        <w:rPr>
          <w:rFonts w:ascii="宋体" w:hAnsi="宋体" w:cs="宋体"/>
          <w:szCs w:val="21"/>
          <w:highlight w:val="none"/>
        </w:rPr>
        <w:t>22.3</w:t>
      </w:r>
      <w:r>
        <w:rPr>
          <w:rFonts w:hint="eastAsia" w:ascii="宋体" w:hAnsi="宋体" w:cs="宋体"/>
          <w:szCs w:val="21"/>
          <w:highlight w:val="none"/>
        </w:rPr>
        <w:t>、</w:t>
      </w:r>
      <w:r>
        <w:rPr>
          <w:rFonts w:hint="eastAsia" w:ascii="宋体" w:hAnsi="宋体"/>
          <w:szCs w:val="21"/>
          <w:highlight w:val="none"/>
        </w:rPr>
        <w:t>供应商存在下列情形之一，经磋商小组评审后，认定为响应无效：</w:t>
      </w:r>
    </w:p>
    <w:p>
      <w:pPr>
        <w:widowControl/>
        <w:spacing w:line="500" w:lineRule="exact"/>
        <w:jc w:val="left"/>
        <w:rPr>
          <w:rFonts w:ascii="宋体" w:hAnsi="宋体"/>
          <w:szCs w:val="21"/>
          <w:highlight w:val="none"/>
        </w:rPr>
      </w:pPr>
      <w:r>
        <w:rPr>
          <w:rFonts w:hint="eastAsia" w:ascii="宋体" w:hAnsi="宋体"/>
          <w:szCs w:val="21"/>
          <w:highlight w:val="none"/>
        </w:rPr>
        <w:t xml:space="preserve">    (1)</w:t>
      </w:r>
      <w:r>
        <w:rPr>
          <w:rFonts w:hAnsi="宋体"/>
          <w:szCs w:val="21"/>
          <w:highlight w:val="none"/>
        </w:rPr>
        <w:t>被责令停业</w:t>
      </w:r>
      <w:r>
        <w:rPr>
          <w:rFonts w:hint="eastAsia" w:hAnsi="宋体"/>
          <w:szCs w:val="21"/>
          <w:highlight w:val="none"/>
        </w:rPr>
        <w:t>且处于有效期内</w:t>
      </w:r>
      <w:r>
        <w:rPr>
          <w:rFonts w:hAnsi="宋体"/>
          <w:szCs w:val="21"/>
          <w:highlight w:val="none"/>
        </w:rPr>
        <w:t>的</w:t>
      </w:r>
      <w:r>
        <w:rPr>
          <w:rFonts w:hint="eastAsia" w:ascii="宋体" w:hAnsi="宋体"/>
          <w:szCs w:val="21"/>
          <w:highlight w:val="none"/>
        </w:rPr>
        <w:t>；</w:t>
      </w:r>
    </w:p>
    <w:p>
      <w:pPr>
        <w:widowControl/>
        <w:spacing w:line="500" w:lineRule="exact"/>
        <w:jc w:val="left"/>
        <w:rPr>
          <w:rFonts w:ascii="宋体" w:hAnsi="宋体"/>
          <w:szCs w:val="21"/>
          <w:highlight w:val="none"/>
        </w:rPr>
      </w:pPr>
      <w:r>
        <w:rPr>
          <w:rFonts w:hint="eastAsia" w:ascii="宋体" w:hAnsi="宋体"/>
          <w:szCs w:val="21"/>
          <w:highlight w:val="none"/>
        </w:rPr>
        <w:t xml:space="preserve">    (2)被安庆市行政区域内公共资源交易监管部门限制投标资格且处于有效期内；</w:t>
      </w:r>
    </w:p>
    <w:p>
      <w:pPr>
        <w:widowControl/>
        <w:spacing w:line="500" w:lineRule="exact"/>
        <w:jc w:val="left"/>
        <w:rPr>
          <w:rFonts w:ascii="宋体" w:hAnsi="宋体"/>
          <w:szCs w:val="21"/>
          <w:highlight w:val="none"/>
        </w:rPr>
      </w:pPr>
      <w:r>
        <w:rPr>
          <w:rFonts w:hint="eastAsia" w:ascii="宋体" w:hAnsi="宋体"/>
          <w:szCs w:val="21"/>
          <w:highlight w:val="none"/>
        </w:rPr>
        <w:t xml:space="preserve">    (3)财产被接管或冻结可能影响本项目正常实施的；</w:t>
      </w:r>
    </w:p>
    <w:p>
      <w:pPr>
        <w:spacing w:line="360" w:lineRule="auto"/>
        <w:ind w:firstLine="420" w:firstLineChars="200"/>
        <w:rPr>
          <w:rFonts w:ascii="宋体" w:hAnsi="宋体" w:cs="宋体"/>
          <w:szCs w:val="21"/>
          <w:highlight w:val="none"/>
        </w:rPr>
      </w:pPr>
      <w:r>
        <w:rPr>
          <w:rFonts w:hint="eastAsia" w:ascii="宋体" w:hAnsi="宋体"/>
          <w:szCs w:val="21"/>
          <w:highlight w:val="none"/>
        </w:rPr>
        <w:t>(4)法律、法规规定及磋商文件约定的其他情形</w:t>
      </w:r>
      <w:r>
        <w:rPr>
          <w:rFonts w:hint="eastAsia" w:ascii="宋体" w:hAnsi="宋体" w:cs="宋体"/>
          <w:szCs w:val="21"/>
          <w:highlight w:val="none"/>
        </w:rPr>
        <w:t>。</w:t>
      </w:r>
    </w:p>
    <w:p>
      <w:pPr>
        <w:widowControl/>
        <w:spacing w:line="500" w:lineRule="exact"/>
        <w:ind w:firstLine="420"/>
        <w:jc w:val="left"/>
        <w:rPr>
          <w:rFonts w:ascii="宋体" w:cs="宋体"/>
          <w:szCs w:val="21"/>
          <w:highlight w:val="none"/>
        </w:rPr>
      </w:pPr>
      <w:r>
        <w:rPr>
          <w:rFonts w:ascii="宋体" w:hAnsi="宋体"/>
          <w:szCs w:val="21"/>
          <w:highlight w:val="none"/>
        </w:rPr>
        <w:t>22.4 各级人民政府财政部门依法对参加政府采购活动的供应商作出的禁止参加政府采购活动等行政处罚决定在全国范围内生效。</w:t>
      </w:r>
      <w:r>
        <w:rPr>
          <w:rFonts w:hint="eastAsia" w:ascii="宋体" w:hAnsi="宋体"/>
          <w:szCs w:val="21"/>
          <w:highlight w:val="none"/>
        </w:rPr>
        <w:t>供应商受到</w:t>
      </w:r>
      <w:r>
        <w:rPr>
          <w:rFonts w:ascii="宋体" w:hAnsi="宋体"/>
          <w:szCs w:val="21"/>
          <w:highlight w:val="none"/>
        </w:rPr>
        <w:t>财政部门依法</w:t>
      </w:r>
      <w:r>
        <w:rPr>
          <w:rFonts w:hint="eastAsia" w:ascii="宋体" w:hAnsi="宋体"/>
          <w:szCs w:val="21"/>
          <w:highlight w:val="none"/>
        </w:rPr>
        <w:t>作出的</w:t>
      </w:r>
      <w:r>
        <w:rPr>
          <w:rFonts w:ascii="宋体" w:hAnsi="宋体"/>
          <w:szCs w:val="21"/>
          <w:highlight w:val="none"/>
        </w:rPr>
        <w:t>禁止参加政府采购活动</w:t>
      </w:r>
      <w:r>
        <w:rPr>
          <w:rFonts w:hint="eastAsia" w:ascii="宋体" w:hAnsi="宋体"/>
          <w:szCs w:val="21"/>
          <w:highlight w:val="none"/>
        </w:rPr>
        <w:t>且在有效期内的</w:t>
      </w:r>
      <w:r>
        <w:rPr>
          <w:rFonts w:ascii="宋体" w:hAnsi="宋体"/>
          <w:szCs w:val="21"/>
          <w:highlight w:val="none"/>
        </w:rPr>
        <w:t>行政处罚</w:t>
      </w:r>
      <w:r>
        <w:rPr>
          <w:rFonts w:hint="eastAsia" w:ascii="宋体" w:hAnsi="宋体"/>
          <w:szCs w:val="21"/>
          <w:highlight w:val="none"/>
        </w:rPr>
        <w:t>，其响应无效。</w:t>
      </w:r>
    </w:p>
    <w:p>
      <w:pPr>
        <w:pStyle w:val="5"/>
        <w:ind w:firstLine="551" w:firstLineChars="196"/>
        <w:rPr>
          <w:rFonts w:cs="宋体"/>
          <w:highlight w:val="none"/>
        </w:rPr>
      </w:pPr>
      <w:bookmarkStart w:id="76" w:name="_Toc22280"/>
      <w:bookmarkStart w:id="77" w:name="_Toc476584426"/>
      <w:r>
        <w:rPr>
          <w:rFonts w:hint="eastAsia" w:cs="宋体"/>
          <w:highlight w:val="none"/>
        </w:rPr>
        <w:t>六、评标</w:t>
      </w:r>
      <w:bookmarkEnd w:id="76"/>
      <w:bookmarkEnd w:id="77"/>
    </w:p>
    <w:p>
      <w:pPr>
        <w:spacing w:line="360" w:lineRule="auto"/>
        <w:ind w:firstLine="422" w:firstLineChars="200"/>
        <w:rPr>
          <w:rFonts w:ascii="宋体" w:cs="宋体"/>
          <w:szCs w:val="21"/>
          <w:highlight w:val="none"/>
        </w:rPr>
      </w:pPr>
      <w:r>
        <w:rPr>
          <w:rFonts w:ascii="宋体" w:hAnsi="宋体" w:cs="宋体"/>
          <w:b/>
          <w:szCs w:val="21"/>
          <w:highlight w:val="none"/>
        </w:rPr>
        <w:t>23</w:t>
      </w:r>
      <w:r>
        <w:rPr>
          <w:rFonts w:hint="eastAsia" w:ascii="宋体" w:hAnsi="宋体" w:cs="宋体"/>
          <w:b/>
          <w:szCs w:val="21"/>
          <w:highlight w:val="none"/>
        </w:rPr>
        <w:t>、磋商小组</w:t>
      </w:r>
      <w:r>
        <w:rPr>
          <w:rFonts w:hint="eastAsia" w:ascii="宋体" w:hAnsi="宋体" w:cs="宋体"/>
          <w:szCs w:val="21"/>
          <w:highlight w:val="none"/>
        </w:rPr>
        <w:t>：磋商</w:t>
      </w:r>
      <w:r>
        <w:rPr>
          <w:rFonts w:hint="eastAsia" w:ascii="宋体" w:hAnsi="宋体"/>
          <w:szCs w:val="21"/>
          <w:highlight w:val="none"/>
        </w:rPr>
        <w:t>小组依法组建，其中采购人代表</w:t>
      </w:r>
      <w:r>
        <w:rPr>
          <w:rFonts w:ascii="宋体" w:hAnsi="宋体"/>
          <w:szCs w:val="21"/>
          <w:highlight w:val="none"/>
        </w:rPr>
        <w:t>1</w:t>
      </w:r>
      <w:r>
        <w:rPr>
          <w:rFonts w:hint="eastAsia" w:ascii="宋体" w:hAnsi="宋体"/>
          <w:szCs w:val="21"/>
          <w:highlight w:val="none"/>
        </w:rPr>
        <w:t>人。</w:t>
      </w:r>
      <w:r>
        <w:rPr>
          <w:rFonts w:hint="eastAsia" w:ascii="宋体" w:hAnsi="宋体" w:cs="宋体"/>
          <w:szCs w:val="21"/>
          <w:highlight w:val="none"/>
        </w:rPr>
        <w:t>采购人代表不得担任磋商小组组长。磋商由磋商小组进行，评委应坚持公正、公平、诚实守信、实事求是、独立评标的原则。</w:t>
      </w:r>
    </w:p>
    <w:p>
      <w:pPr>
        <w:spacing w:line="360" w:lineRule="auto"/>
        <w:ind w:firstLine="422" w:firstLineChars="200"/>
        <w:rPr>
          <w:rFonts w:ascii="宋体" w:cs="宋体"/>
          <w:szCs w:val="21"/>
          <w:highlight w:val="none"/>
        </w:rPr>
      </w:pPr>
      <w:r>
        <w:rPr>
          <w:rFonts w:ascii="宋体" w:hAnsi="宋体" w:cs="宋体"/>
          <w:b/>
          <w:szCs w:val="21"/>
          <w:highlight w:val="none"/>
        </w:rPr>
        <w:t>24</w:t>
      </w:r>
      <w:r>
        <w:rPr>
          <w:rFonts w:hint="eastAsia" w:ascii="宋体" w:hAnsi="宋体" w:cs="宋体"/>
          <w:b/>
          <w:szCs w:val="21"/>
          <w:highlight w:val="none"/>
        </w:rPr>
        <w:t>、评标方法：</w:t>
      </w:r>
      <w:r>
        <w:rPr>
          <w:rFonts w:hint="eastAsia" w:ascii="宋体" w:hAnsi="宋体" w:cs="宋体"/>
          <w:szCs w:val="21"/>
          <w:highlight w:val="none"/>
        </w:rPr>
        <w:t>采用综合评分方法。</w:t>
      </w:r>
    </w:p>
    <w:p>
      <w:pPr>
        <w:spacing w:line="360" w:lineRule="auto"/>
        <w:ind w:firstLine="440"/>
        <w:jc w:val="left"/>
        <w:rPr>
          <w:rFonts w:ascii="宋体" w:cs="宋体"/>
          <w:b/>
          <w:szCs w:val="21"/>
          <w:highlight w:val="none"/>
        </w:rPr>
      </w:pPr>
      <w:r>
        <w:rPr>
          <w:rFonts w:ascii="宋体" w:hAnsi="宋体" w:cs="宋体"/>
          <w:b/>
          <w:szCs w:val="21"/>
          <w:highlight w:val="none"/>
        </w:rPr>
        <w:t>25</w:t>
      </w:r>
      <w:r>
        <w:rPr>
          <w:rFonts w:hint="eastAsia" w:ascii="宋体" w:hAnsi="宋体" w:cs="宋体"/>
          <w:b/>
          <w:szCs w:val="21"/>
          <w:highlight w:val="none"/>
        </w:rPr>
        <w:t>、评标程序：</w:t>
      </w:r>
      <w:r>
        <w:rPr>
          <w:rFonts w:hint="eastAsia" w:ascii="宋体" w:hAnsi="宋体" w:cs="宋体"/>
          <w:szCs w:val="21"/>
          <w:highlight w:val="none"/>
        </w:rPr>
        <w:t>评标包括响应文件符合性审查、磋商、最后报价、综合评分和确定成交候选人排序。</w:t>
      </w:r>
    </w:p>
    <w:p>
      <w:pPr>
        <w:spacing w:line="360" w:lineRule="auto"/>
        <w:rPr>
          <w:rFonts w:ascii="宋体" w:cs="宋体"/>
          <w:szCs w:val="21"/>
          <w:highlight w:val="none"/>
        </w:rPr>
      </w:pPr>
      <w:r>
        <w:rPr>
          <w:rFonts w:ascii="宋体" w:hAnsi="宋体" w:cs="宋体"/>
          <w:szCs w:val="21"/>
          <w:highlight w:val="none"/>
        </w:rPr>
        <w:t xml:space="preserve">    </w:t>
      </w:r>
      <w:r>
        <w:rPr>
          <w:rFonts w:ascii="宋体" w:hAnsi="宋体" w:cs="宋体"/>
          <w:b/>
          <w:bCs/>
          <w:szCs w:val="21"/>
          <w:highlight w:val="none"/>
        </w:rPr>
        <w:t>25.1</w:t>
      </w:r>
      <w:r>
        <w:rPr>
          <w:rFonts w:hint="eastAsia" w:ascii="宋体" w:hAnsi="宋体" w:cs="宋体"/>
          <w:b/>
          <w:bCs/>
          <w:szCs w:val="21"/>
          <w:highlight w:val="none"/>
        </w:rPr>
        <w:t>、响应文件</w:t>
      </w:r>
      <w:r>
        <w:rPr>
          <w:rFonts w:hint="eastAsia" w:ascii="宋体" w:hAnsi="宋体" w:cs="宋体"/>
          <w:b/>
          <w:bCs/>
          <w:highlight w:val="none"/>
        </w:rPr>
        <w:t>符合性审查</w:t>
      </w:r>
      <w:r>
        <w:rPr>
          <w:rFonts w:hint="eastAsia" w:ascii="宋体" w:hAnsi="宋体" w:cs="宋体"/>
          <w:b/>
          <w:bCs/>
          <w:szCs w:val="21"/>
          <w:highlight w:val="none"/>
        </w:rPr>
        <w:t>，包括但不限于以下内容：</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6282"/>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hint="eastAsia" w:ascii="宋体" w:hAnsi="宋体"/>
                <w:szCs w:val="21"/>
                <w:highlight w:val="none"/>
              </w:rPr>
              <w:t>序号</w:t>
            </w:r>
          </w:p>
        </w:tc>
        <w:tc>
          <w:tcPr>
            <w:tcW w:w="6282" w:type="dxa"/>
          </w:tcPr>
          <w:p>
            <w:pPr>
              <w:spacing w:line="360" w:lineRule="auto"/>
              <w:jc w:val="center"/>
              <w:rPr>
                <w:rFonts w:ascii="宋体"/>
                <w:szCs w:val="21"/>
                <w:highlight w:val="none"/>
              </w:rPr>
            </w:pPr>
            <w:r>
              <w:rPr>
                <w:rFonts w:hint="eastAsia" w:ascii="宋体" w:hAnsi="宋体"/>
                <w:szCs w:val="21"/>
                <w:highlight w:val="none"/>
              </w:rPr>
              <w:t>审查内容</w:t>
            </w:r>
          </w:p>
        </w:tc>
        <w:tc>
          <w:tcPr>
            <w:tcW w:w="1440" w:type="dxa"/>
          </w:tcPr>
          <w:p>
            <w:pPr>
              <w:spacing w:line="360" w:lineRule="auto"/>
              <w:jc w:val="center"/>
              <w:rPr>
                <w:rFonts w:ascii="宋体"/>
                <w:szCs w:val="21"/>
                <w:highlight w:val="none"/>
              </w:rPr>
            </w:pPr>
            <w:r>
              <w:rPr>
                <w:rFonts w:hint="eastAsia" w:ascii="宋体" w:hAnsi="宋体"/>
                <w:szCs w:val="21"/>
                <w:highlight w:val="none"/>
              </w:rPr>
              <w:t>是否通过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ascii="宋体" w:hAnsi="宋体"/>
                <w:szCs w:val="21"/>
                <w:highlight w:val="none"/>
              </w:rPr>
              <w:t>1</w:t>
            </w:r>
          </w:p>
        </w:tc>
        <w:tc>
          <w:tcPr>
            <w:tcW w:w="6282" w:type="dxa"/>
          </w:tcPr>
          <w:p>
            <w:pPr>
              <w:spacing w:line="360" w:lineRule="auto"/>
              <w:rPr>
                <w:rFonts w:ascii="宋体"/>
                <w:szCs w:val="21"/>
                <w:highlight w:val="none"/>
              </w:rPr>
            </w:pPr>
            <w:r>
              <w:rPr>
                <w:rFonts w:hint="eastAsia" w:ascii="宋体" w:hAnsi="宋体"/>
                <w:szCs w:val="21"/>
                <w:highlight w:val="none"/>
              </w:rPr>
              <w:t>供应商资格是否符合磋商文件要求</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ascii="宋体" w:hAnsi="宋体"/>
                <w:szCs w:val="21"/>
                <w:highlight w:val="none"/>
              </w:rPr>
              <w:t>2</w:t>
            </w:r>
          </w:p>
        </w:tc>
        <w:tc>
          <w:tcPr>
            <w:tcW w:w="6282" w:type="dxa"/>
          </w:tcPr>
          <w:p>
            <w:pPr>
              <w:spacing w:line="360" w:lineRule="auto"/>
              <w:rPr>
                <w:rFonts w:ascii="宋体"/>
                <w:szCs w:val="21"/>
                <w:highlight w:val="none"/>
              </w:rPr>
            </w:pPr>
            <w:r>
              <w:rPr>
                <w:rFonts w:hint="eastAsia" w:ascii="宋体" w:hAnsi="宋体"/>
                <w:szCs w:val="21"/>
                <w:highlight w:val="none"/>
              </w:rPr>
              <w:t>响应文件是否按磋商文件的要求进行编制、签署和标记</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ascii="宋体" w:hAnsi="宋体"/>
                <w:szCs w:val="21"/>
                <w:highlight w:val="none"/>
              </w:rPr>
              <w:t>3</w:t>
            </w:r>
          </w:p>
        </w:tc>
        <w:tc>
          <w:tcPr>
            <w:tcW w:w="6282" w:type="dxa"/>
          </w:tcPr>
          <w:p>
            <w:pPr>
              <w:spacing w:line="360" w:lineRule="auto"/>
              <w:rPr>
                <w:rFonts w:ascii="宋体"/>
                <w:szCs w:val="21"/>
                <w:highlight w:val="none"/>
              </w:rPr>
            </w:pPr>
            <w:r>
              <w:rPr>
                <w:rFonts w:hint="eastAsia" w:ascii="宋体" w:hAnsi="宋体"/>
                <w:szCs w:val="21"/>
                <w:highlight w:val="none"/>
              </w:rPr>
              <w:t>磋商文件要求提交的各种资格证明文件是否真实、完整、合法、有效</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66" w:type="dxa"/>
          </w:tcPr>
          <w:p>
            <w:pPr>
              <w:spacing w:line="360" w:lineRule="auto"/>
              <w:jc w:val="center"/>
              <w:rPr>
                <w:rFonts w:ascii="宋体"/>
                <w:szCs w:val="21"/>
                <w:highlight w:val="none"/>
              </w:rPr>
            </w:pPr>
            <w:r>
              <w:rPr>
                <w:rFonts w:hint="eastAsia" w:ascii="宋体"/>
                <w:szCs w:val="21"/>
                <w:highlight w:val="none"/>
              </w:rPr>
              <w:t>4</w:t>
            </w:r>
          </w:p>
        </w:tc>
        <w:tc>
          <w:tcPr>
            <w:tcW w:w="6282" w:type="dxa"/>
          </w:tcPr>
          <w:p>
            <w:pPr>
              <w:spacing w:line="360" w:lineRule="auto"/>
              <w:rPr>
                <w:rFonts w:ascii="宋体"/>
                <w:szCs w:val="21"/>
                <w:highlight w:val="none"/>
              </w:rPr>
            </w:pPr>
            <w:r>
              <w:rPr>
                <w:rFonts w:hint="eastAsia" w:ascii="宋体" w:hAnsi="宋体"/>
                <w:szCs w:val="21"/>
                <w:highlight w:val="none"/>
              </w:rPr>
              <w:t>所提供的服务是否有缺少</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hint="eastAsia" w:ascii="宋体"/>
                <w:szCs w:val="21"/>
                <w:highlight w:val="none"/>
              </w:rPr>
              <w:t>5</w:t>
            </w:r>
          </w:p>
        </w:tc>
        <w:tc>
          <w:tcPr>
            <w:tcW w:w="6282" w:type="dxa"/>
          </w:tcPr>
          <w:p>
            <w:pPr>
              <w:spacing w:line="360" w:lineRule="auto"/>
              <w:rPr>
                <w:rFonts w:ascii="宋体"/>
                <w:szCs w:val="21"/>
                <w:highlight w:val="none"/>
              </w:rPr>
            </w:pPr>
            <w:r>
              <w:rPr>
                <w:rFonts w:hint="eastAsia" w:ascii="宋体" w:hAnsi="宋体"/>
                <w:szCs w:val="21"/>
                <w:highlight w:val="none"/>
              </w:rPr>
              <w:t>磋商响应</w:t>
            </w:r>
            <w:r>
              <w:rPr>
                <w:rFonts w:hint="eastAsia" w:ascii="宋体" w:hAnsi="宋体" w:cs="宋体"/>
                <w:szCs w:val="21"/>
                <w:highlight w:val="none"/>
              </w:rPr>
              <w:t>服务内容及质量是否完全响应或优于</w:t>
            </w:r>
            <w:r>
              <w:rPr>
                <w:rFonts w:hint="eastAsia" w:ascii="宋体" w:hAnsi="宋体"/>
                <w:szCs w:val="21"/>
                <w:highlight w:val="none"/>
              </w:rPr>
              <w:t>磋商文件要求</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hint="eastAsia" w:ascii="宋体"/>
                <w:szCs w:val="21"/>
                <w:highlight w:val="none"/>
              </w:rPr>
              <w:t>6</w:t>
            </w:r>
          </w:p>
        </w:tc>
        <w:tc>
          <w:tcPr>
            <w:tcW w:w="6282" w:type="dxa"/>
          </w:tcPr>
          <w:p>
            <w:pPr>
              <w:spacing w:line="360" w:lineRule="auto"/>
              <w:rPr>
                <w:rFonts w:ascii="宋体"/>
                <w:szCs w:val="21"/>
                <w:highlight w:val="none"/>
              </w:rPr>
            </w:pPr>
            <w:r>
              <w:rPr>
                <w:rFonts w:hint="eastAsia" w:ascii="宋体" w:hAnsi="宋体"/>
                <w:szCs w:val="21"/>
                <w:highlight w:val="none"/>
              </w:rPr>
              <w:t>服务及技术方案是否完整、可行且完全响应或优于磋商文件要求</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pPr>
              <w:spacing w:line="360" w:lineRule="auto"/>
              <w:jc w:val="center"/>
              <w:rPr>
                <w:rFonts w:ascii="宋体"/>
                <w:szCs w:val="21"/>
                <w:highlight w:val="none"/>
              </w:rPr>
            </w:pPr>
            <w:r>
              <w:rPr>
                <w:rFonts w:hint="eastAsia" w:ascii="宋体"/>
                <w:szCs w:val="21"/>
                <w:highlight w:val="none"/>
              </w:rPr>
              <w:t>7</w:t>
            </w:r>
          </w:p>
        </w:tc>
        <w:tc>
          <w:tcPr>
            <w:tcW w:w="6282" w:type="dxa"/>
          </w:tcPr>
          <w:p>
            <w:pPr>
              <w:spacing w:line="360" w:lineRule="auto"/>
              <w:rPr>
                <w:rFonts w:ascii="宋体"/>
                <w:szCs w:val="21"/>
                <w:highlight w:val="none"/>
              </w:rPr>
            </w:pPr>
            <w:r>
              <w:rPr>
                <w:rFonts w:hint="eastAsia" w:ascii="宋体" w:hAnsi="宋体"/>
                <w:szCs w:val="21"/>
                <w:highlight w:val="none"/>
              </w:rPr>
              <w:t>响应文件对法律、法规和竞争性磋商文件其他明确要求的符合性</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66" w:type="dxa"/>
            <w:tcBorders>
              <w:bottom w:val="single" w:color="auto" w:sz="4" w:space="0"/>
            </w:tcBorders>
          </w:tcPr>
          <w:p>
            <w:pPr>
              <w:spacing w:line="360" w:lineRule="auto"/>
              <w:jc w:val="center"/>
              <w:rPr>
                <w:rFonts w:ascii="宋体"/>
                <w:szCs w:val="21"/>
                <w:highlight w:val="none"/>
              </w:rPr>
            </w:pPr>
            <w:r>
              <w:rPr>
                <w:rFonts w:hint="eastAsia" w:ascii="宋体"/>
                <w:szCs w:val="21"/>
                <w:highlight w:val="none"/>
              </w:rPr>
              <w:t>8</w:t>
            </w:r>
          </w:p>
        </w:tc>
        <w:tc>
          <w:tcPr>
            <w:tcW w:w="6282" w:type="dxa"/>
            <w:tcBorders>
              <w:bottom w:val="single" w:color="auto" w:sz="4" w:space="0"/>
            </w:tcBorders>
          </w:tcPr>
          <w:p>
            <w:pPr>
              <w:spacing w:line="360" w:lineRule="auto"/>
              <w:rPr>
                <w:rFonts w:ascii="宋体"/>
                <w:szCs w:val="21"/>
                <w:highlight w:val="none"/>
              </w:rPr>
            </w:pPr>
            <w:r>
              <w:rPr>
                <w:rFonts w:hint="eastAsia" w:ascii="Dotum" w:hAnsi="Dotum"/>
                <w:szCs w:val="21"/>
                <w:highlight w:val="none"/>
              </w:rPr>
              <w:t>单位负责人为同一人或者存在控股、管理关系的不同单位是否同时参加本项目响应</w:t>
            </w:r>
          </w:p>
        </w:tc>
        <w:tc>
          <w:tcPr>
            <w:tcW w:w="1440" w:type="dxa"/>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szCs w:val="21"/>
                <w:highlight w:val="none"/>
              </w:rPr>
            </w:pPr>
            <w:r>
              <w:rPr>
                <w:rFonts w:hint="eastAsia" w:ascii="宋体"/>
                <w:szCs w:val="21"/>
                <w:highlight w:val="none"/>
              </w:rPr>
              <w:t>9</w:t>
            </w:r>
          </w:p>
        </w:tc>
        <w:tc>
          <w:tcPr>
            <w:tcW w:w="6282" w:type="dxa"/>
            <w:tcBorders>
              <w:top w:val="single" w:color="auto" w:sz="4" w:space="0"/>
              <w:left w:val="single" w:color="auto" w:sz="4" w:space="0"/>
              <w:bottom w:val="single" w:color="auto" w:sz="4" w:space="0"/>
              <w:right w:val="single" w:color="auto" w:sz="4" w:space="0"/>
            </w:tcBorders>
          </w:tcPr>
          <w:p>
            <w:pPr>
              <w:spacing w:line="360" w:lineRule="auto"/>
              <w:rPr>
                <w:rFonts w:ascii="Dotum" w:eastAsia="Dotum"/>
                <w:szCs w:val="21"/>
                <w:highlight w:val="none"/>
              </w:rPr>
            </w:pPr>
            <w:r>
              <w:rPr>
                <w:rFonts w:hint="eastAsia" w:ascii="Dotum" w:hAnsi="Dotum"/>
                <w:szCs w:val="21"/>
                <w:highlight w:val="none"/>
              </w:rPr>
              <w:t>响应文件是否有采购人不能接受的条件</w:t>
            </w:r>
          </w:p>
        </w:tc>
        <w:tc>
          <w:tcPr>
            <w:tcW w:w="1440" w:type="dxa"/>
            <w:tcBorders>
              <w:left w:val="single" w:color="auto" w:sz="4" w:space="0"/>
            </w:tcBorders>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szCs w:val="21"/>
                <w:highlight w:val="none"/>
              </w:rPr>
            </w:pPr>
            <w:r>
              <w:rPr>
                <w:rFonts w:hint="eastAsia" w:ascii="宋体" w:hAnsi="宋体"/>
                <w:szCs w:val="21"/>
                <w:highlight w:val="none"/>
              </w:rPr>
              <w:t>10</w:t>
            </w:r>
          </w:p>
        </w:tc>
        <w:tc>
          <w:tcPr>
            <w:tcW w:w="6282" w:type="dxa"/>
            <w:tcBorders>
              <w:top w:val="single" w:color="auto" w:sz="4" w:space="0"/>
              <w:left w:val="single" w:color="auto" w:sz="4" w:space="0"/>
              <w:bottom w:val="single" w:color="auto" w:sz="4" w:space="0"/>
              <w:right w:val="single" w:color="auto" w:sz="4" w:space="0"/>
            </w:tcBorders>
          </w:tcPr>
          <w:p>
            <w:pPr>
              <w:spacing w:line="360" w:lineRule="auto"/>
              <w:rPr>
                <w:rFonts w:ascii="Dotum" w:eastAsia="Dotum"/>
                <w:szCs w:val="21"/>
                <w:highlight w:val="none"/>
              </w:rPr>
            </w:pPr>
            <w:r>
              <w:rPr>
                <w:rFonts w:hint="eastAsia" w:ascii="Dotum" w:hAnsi="Dotum"/>
                <w:szCs w:val="21"/>
                <w:highlight w:val="none"/>
              </w:rPr>
              <w:t>响应文件是否存在磋商文件中约定的无效响应文件的其他情况</w:t>
            </w:r>
          </w:p>
        </w:tc>
        <w:tc>
          <w:tcPr>
            <w:tcW w:w="1440" w:type="dxa"/>
            <w:tcBorders>
              <w:left w:val="single" w:color="auto" w:sz="4" w:space="0"/>
            </w:tcBorders>
          </w:tcPr>
          <w:p>
            <w:pPr>
              <w:spacing w:line="360" w:lineRule="auto"/>
              <w:rPr>
                <w:rFonts w:asci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szCs w:val="21"/>
                <w:highlight w:val="none"/>
              </w:rPr>
            </w:pPr>
            <w:r>
              <w:rPr>
                <w:rFonts w:ascii="宋体" w:hAnsi="宋体"/>
                <w:szCs w:val="21"/>
                <w:highlight w:val="none"/>
              </w:rPr>
              <w:t>1</w:t>
            </w:r>
            <w:r>
              <w:rPr>
                <w:rFonts w:hint="eastAsia" w:ascii="宋体" w:hAnsi="宋体"/>
                <w:szCs w:val="21"/>
                <w:highlight w:val="none"/>
              </w:rPr>
              <w:t>1</w:t>
            </w:r>
          </w:p>
        </w:tc>
        <w:tc>
          <w:tcPr>
            <w:tcW w:w="6282" w:type="dxa"/>
            <w:tcBorders>
              <w:top w:val="single" w:color="auto" w:sz="4" w:space="0"/>
              <w:left w:val="single" w:color="auto" w:sz="4" w:space="0"/>
              <w:bottom w:val="single" w:color="auto" w:sz="4" w:space="0"/>
              <w:right w:val="single" w:color="auto" w:sz="4" w:space="0"/>
            </w:tcBorders>
          </w:tcPr>
          <w:p>
            <w:pPr>
              <w:spacing w:line="360" w:lineRule="auto"/>
              <w:rPr>
                <w:rFonts w:ascii="Dotum" w:eastAsia="Dotum"/>
                <w:szCs w:val="21"/>
                <w:highlight w:val="none"/>
              </w:rPr>
            </w:pPr>
            <w:r>
              <w:rPr>
                <w:rFonts w:hint="eastAsia" w:ascii="Dotum" w:hAnsi="Dotum"/>
                <w:szCs w:val="21"/>
                <w:highlight w:val="none"/>
              </w:rPr>
              <w:t>响应文件是否符合磋商文件</w:t>
            </w:r>
          </w:p>
        </w:tc>
        <w:tc>
          <w:tcPr>
            <w:tcW w:w="1440" w:type="dxa"/>
            <w:tcBorders>
              <w:left w:val="single" w:color="auto" w:sz="4" w:space="0"/>
            </w:tcBorders>
          </w:tcPr>
          <w:p>
            <w:pPr>
              <w:spacing w:line="360" w:lineRule="auto"/>
              <w:rPr>
                <w:rFonts w:ascii="宋体"/>
                <w:szCs w:val="21"/>
                <w:highlight w:val="none"/>
              </w:rPr>
            </w:pPr>
          </w:p>
        </w:tc>
      </w:tr>
    </w:tbl>
    <w:p>
      <w:pPr>
        <w:widowControl/>
        <w:spacing w:line="360" w:lineRule="auto"/>
        <w:ind w:firstLine="405"/>
        <w:jc w:val="left"/>
        <w:rPr>
          <w:rFonts w:ascii="宋体" w:cs="宋体"/>
          <w:b/>
          <w:szCs w:val="21"/>
          <w:highlight w:val="none"/>
        </w:rPr>
      </w:pPr>
      <w:r>
        <w:rPr>
          <w:rFonts w:hint="eastAsia" w:ascii="宋体" w:hAnsi="宋体" w:cs="宋体"/>
          <w:b/>
          <w:szCs w:val="21"/>
          <w:highlight w:val="none"/>
        </w:rPr>
        <w:t>备注</w:t>
      </w:r>
      <w:r>
        <w:rPr>
          <w:rFonts w:hint="eastAsia" w:ascii="宋体" w:cs="宋体"/>
          <w:b/>
          <w:szCs w:val="21"/>
          <w:highlight w:val="none"/>
        </w:rPr>
        <w:t>：</w:t>
      </w:r>
      <w:r>
        <w:rPr>
          <w:rFonts w:hint="eastAsia" w:ascii="宋体" w:hAnsi="宋体"/>
          <w:b/>
          <w:szCs w:val="21"/>
          <w:highlight w:val="none"/>
        </w:rPr>
        <w:t>磋商文件要求（评分细则要求的除外）在响应文件中提供复印件或影印件或扫描件的，若在响应文件中未提供响应复印件或影印件或扫描件，由成交人在签订合同前提交给采购人，否则视为成交人自动放弃成交资格。</w:t>
      </w:r>
    </w:p>
    <w:p>
      <w:pPr>
        <w:spacing w:line="360" w:lineRule="auto"/>
        <w:ind w:firstLine="413" w:firstLineChars="196"/>
        <w:rPr>
          <w:rFonts w:ascii="宋体" w:hAnsi="宋体"/>
          <w:b/>
          <w:szCs w:val="21"/>
          <w:highlight w:val="none"/>
        </w:rPr>
      </w:pPr>
      <w:r>
        <w:rPr>
          <w:rFonts w:ascii="宋体" w:hAnsi="宋体"/>
          <w:b/>
          <w:szCs w:val="21"/>
          <w:highlight w:val="none"/>
        </w:rPr>
        <w:t xml:space="preserve"> 25.2</w:t>
      </w:r>
      <w:r>
        <w:rPr>
          <w:rFonts w:hint="eastAsia" w:ascii="宋体" w:hAnsi="宋体"/>
          <w:b/>
          <w:szCs w:val="21"/>
          <w:highlight w:val="none"/>
        </w:rPr>
        <w:t>、磋商</w:t>
      </w:r>
    </w:p>
    <w:p>
      <w:pPr>
        <w:adjustRightInd w:val="0"/>
        <w:spacing w:line="360" w:lineRule="auto"/>
        <w:textAlignment w:val="baseline"/>
        <w:rPr>
          <w:szCs w:val="21"/>
          <w:highlight w:val="none"/>
        </w:rPr>
      </w:pPr>
      <w:r>
        <w:rPr>
          <w:rFonts w:ascii="宋体" w:hAnsi="宋体"/>
          <w:szCs w:val="21"/>
          <w:highlight w:val="none"/>
        </w:rPr>
        <w:t xml:space="preserve">     25.2.1</w:t>
      </w:r>
      <w:r>
        <w:rPr>
          <w:rFonts w:hint="eastAsia" w:ascii="宋体" w:hAnsi="宋体"/>
          <w:szCs w:val="21"/>
          <w:highlight w:val="none"/>
        </w:rPr>
        <w:t>所</w:t>
      </w:r>
      <w:r>
        <w:rPr>
          <w:rFonts w:hint="eastAsia"/>
          <w:szCs w:val="21"/>
          <w:highlight w:val="none"/>
        </w:rPr>
        <w:t>有通过符合性审查的供应商均可以参加磋商。</w:t>
      </w:r>
      <w:r>
        <w:rPr>
          <w:rFonts w:hint="eastAsia" w:ascii="宋体" w:hAnsi="宋体"/>
          <w:szCs w:val="21"/>
          <w:highlight w:val="none"/>
        </w:rPr>
        <w:t>磋商小组所有成员应当集中与单一供应商分别进行磋商，给予每个正在参加磋商的供应商相同的机会。</w:t>
      </w:r>
      <w:r>
        <w:rPr>
          <w:rFonts w:hint="eastAsia"/>
          <w:szCs w:val="21"/>
          <w:highlight w:val="none"/>
        </w:rPr>
        <w:t>磋商内容为</w:t>
      </w:r>
      <w:r>
        <w:rPr>
          <w:rFonts w:hint="eastAsia" w:hAnsi="宋体" w:cs="宋体"/>
          <w:szCs w:val="21"/>
          <w:highlight w:val="none"/>
        </w:rPr>
        <w:t>根据磋商文件要求，就供应商</w:t>
      </w:r>
      <w:r>
        <w:rPr>
          <w:rFonts w:hint="eastAsia"/>
          <w:szCs w:val="21"/>
          <w:highlight w:val="none"/>
        </w:rPr>
        <w:t>响应文件中提供的方案等进行磋商。</w:t>
      </w:r>
    </w:p>
    <w:p>
      <w:pPr>
        <w:adjustRightInd w:val="0"/>
        <w:spacing w:line="480" w:lineRule="exact"/>
        <w:ind w:left="178" w:leftChars="85" w:firstLine="420" w:firstLineChars="200"/>
        <w:textAlignment w:val="baseline"/>
        <w:rPr>
          <w:rFonts w:ascii="宋体" w:hAnsi="宋体"/>
          <w:szCs w:val="21"/>
          <w:highlight w:val="none"/>
        </w:rPr>
      </w:pPr>
      <w:r>
        <w:rPr>
          <w:rFonts w:ascii="宋体" w:hAnsi="宋体"/>
          <w:szCs w:val="21"/>
          <w:highlight w:val="none"/>
        </w:rPr>
        <w:t>25.2.2</w:t>
      </w:r>
      <w:r>
        <w:rPr>
          <w:rFonts w:hint="eastAsia" w:ascii="宋体" w:hAnsi="宋体"/>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r>
        <w:rPr>
          <w:rFonts w:ascii="宋体" w:hAnsi="宋体"/>
          <w:szCs w:val="21"/>
          <w:highlight w:val="none"/>
        </w:rPr>
        <w:t xml:space="preserve"> </w:t>
      </w:r>
    </w:p>
    <w:p>
      <w:pPr>
        <w:adjustRightInd w:val="0"/>
        <w:spacing w:line="480" w:lineRule="exact"/>
        <w:ind w:left="178" w:leftChars="85" w:firstLine="420" w:firstLineChars="200"/>
        <w:textAlignment w:val="baseline"/>
        <w:rPr>
          <w:rFonts w:ascii="宋体" w:hAnsi="宋体"/>
          <w:szCs w:val="21"/>
          <w:highlight w:val="none"/>
        </w:rPr>
      </w:pPr>
      <w:r>
        <w:rPr>
          <w:rFonts w:ascii="宋体" w:hAnsi="宋体"/>
          <w:szCs w:val="21"/>
          <w:highlight w:val="none"/>
        </w:rPr>
        <w:t>25.2.3</w:t>
      </w:r>
      <w:r>
        <w:rPr>
          <w:rFonts w:hint="eastAsia" w:ascii="宋体" w:hAnsi="宋体"/>
          <w:szCs w:val="21"/>
          <w:highlight w:val="none"/>
        </w:rPr>
        <w:t>对磋商文件作出的实质性变动是磋商文件的有效组成部分，磋商小组及时以书面形式同时通知所有参加磋商的供应商。</w:t>
      </w:r>
      <w:r>
        <w:rPr>
          <w:rFonts w:ascii="宋体" w:hAnsi="宋体"/>
          <w:szCs w:val="21"/>
          <w:highlight w:val="none"/>
        </w:rPr>
        <w:t xml:space="preserve"> </w:t>
      </w:r>
    </w:p>
    <w:p>
      <w:pPr>
        <w:adjustRightInd w:val="0"/>
        <w:spacing w:line="480" w:lineRule="exact"/>
        <w:ind w:left="178" w:leftChars="85" w:firstLine="420" w:firstLineChars="200"/>
        <w:textAlignment w:val="baseline"/>
        <w:rPr>
          <w:szCs w:val="21"/>
          <w:highlight w:val="none"/>
        </w:rPr>
      </w:pPr>
      <w:r>
        <w:rPr>
          <w:rFonts w:ascii="宋体" w:hAnsi="宋体"/>
          <w:szCs w:val="21"/>
          <w:highlight w:val="none"/>
        </w:rPr>
        <w:t>25.2.4</w:t>
      </w:r>
      <w:r>
        <w:rPr>
          <w:rFonts w:hint="eastAsia" w:ascii="宋体" w:hAnsi="宋体"/>
          <w:szCs w:val="21"/>
          <w:highlight w:val="none"/>
        </w:rPr>
        <w:t>供应商按照磋商文件的变动情况和磋商小组的要求自主决定是否修改响应文件，如修改响应文件，</w:t>
      </w:r>
      <w:r>
        <w:rPr>
          <w:rFonts w:hint="eastAsia"/>
          <w:szCs w:val="21"/>
          <w:highlight w:val="none"/>
        </w:rPr>
        <w:t>供应商应当按照磋商文件的变动情况和磋商小组的要求重新提交响应文件，并由其法定代表人或授权代表签字或者加盖公章。由授权代表签字的，</w:t>
      </w:r>
      <w:r>
        <w:rPr>
          <w:rFonts w:hint="eastAsia"/>
          <w:szCs w:val="21"/>
          <w:highlight w:val="none"/>
        </w:rPr>
        <w:t>应当附授权书。</w:t>
      </w:r>
    </w:p>
    <w:p>
      <w:pPr>
        <w:adjustRightInd w:val="0"/>
        <w:spacing w:line="480" w:lineRule="exact"/>
        <w:ind w:left="178" w:leftChars="85" w:firstLine="422" w:firstLineChars="200"/>
        <w:textAlignment w:val="baseline"/>
        <w:rPr>
          <w:rFonts w:ascii="宋体"/>
          <w:b/>
          <w:bCs/>
          <w:szCs w:val="21"/>
          <w:highlight w:val="none"/>
        </w:rPr>
      </w:pPr>
      <w:r>
        <w:rPr>
          <w:rFonts w:ascii="宋体" w:hAnsi="宋体"/>
          <w:b/>
          <w:bCs/>
          <w:szCs w:val="21"/>
          <w:highlight w:val="none"/>
        </w:rPr>
        <w:t>25.3</w:t>
      </w:r>
      <w:r>
        <w:rPr>
          <w:rFonts w:hint="eastAsia" w:ascii="宋体" w:hAnsi="宋体"/>
          <w:b/>
          <w:bCs/>
          <w:szCs w:val="21"/>
          <w:highlight w:val="none"/>
        </w:rPr>
        <w:t>最后报价</w:t>
      </w:r>
    </w:p>
    <w:p>
      <w:pPr>
        <w:adjustRightInd w:val="0"/>
        <w:spacing w:line="480" w:lineRule="exact"/>
        <w:ind w:left="178" w:leftChars="85" w:firstLine="420" w:firstLineChars="200"/>
        <w:textAlignment w:val="baseline"/>
        <w:rPr>
          <w:rFonts w:ascii="宋体" w:hAnsi="宋体"/>
          <w:szCs w:val="21"/>
          <w:highlight w:val="none"/>
        </w:rPr>
      </w:pPr>
      <w:r>
        <w:rPr>
          <w:rFonts w:hint="eastAsia" w:ascii="宋体" w:hAnsi="宋体"/>
          <w:szCs w:val="21"/>
          <w:highlight w:val="none"/>
        </w:rPr>
        <w:t>若经磋商后需更改响应文件报价部分的，允许供应商作最后修改，修改结果是供应商响应文件的有效组成部分。最后修改必须由其法定代表人或授权代表签字或者加盖公章。</w:t>
      </w:r>
    </w:p>
    <w:p>
      <w:pPr>
        <w:widowControl/>
        <w:spacing w:line="500" w:lineRule="exact"/>
        <w:ind w:left="210" w:leftChars="100" w:firstLine="422" w:firstLineChars="200"/>
        <w:jc w:val="left"/>
        <w:rPr>
          <w:rFonts w:ascii="宋体" w:hAnsi="宋体"/>
          <w:szCs w:val="21"/>
          <w:highlight w:val="none"/>
        </w:rPr>
      </w:pPr>
      <w:r>
        <w:rPr>
          <w:rFonts w:hint="eastAsia" w:ascii="宋体" w:hAnsi="宋体"/>
          <w:b/>
          <w:szCs w:val="21"/>
          <w:highlight w:val="none"/>
        </w:rPr>
        <w:t>供应商磋商响应报价与公布的预算价（或最高磋商限价)相比降幅过小，或供应商磋商响应报价明显缺乏竞争性的，磋商小组可以否决所有磋商响应文件。</w:t>
      </w:r>
    </w:p>
    <w:p>
      <w:pPr>
        <w:spacing w:line="480" w:lineRule="exact"/>
        <w:ind w:firstLine="422" w:firstLineChars="200"/>
        <w:rPr>
          <w:rFonts w:ascii="宋体"/>
          <w:b/>
          <w:bCs/>
          <w:szCs w:val="21"/>
          <w:highlight w:val="none"/>
        </w:rPr>
      </w:pPr>
      <w:r>
        <w:rPr>
          <w:rFonts w:ascii="宋体" w:hAnsi="宋体"/>
          <w:b/>
          <w:bCs/>
          <w:szCs w:val="21"/>
          <w:highlight w:val="none"/>
        </w:rPr>
        <w:t>25.4</w:t>
      </w:r>
      <w:r>
        <w:rPr>
          <w:rFonts w:hint="eastAsia" w:ascii="宋体" w:hAnsi="宋体"/>
          <w:b/>
          <w:bCs/>
          <w:szCs w:val="21"/>
          <w:highlight w:val="none"/>
        </w:rPr>
        <w:t>综合评审</w:t>
      </w:r>
    </w:p>
    <w:p>
      <w:pPr>
        <w:spacing w:line="480" w:lineRule="exact"/>
        <w:ind w:firstLine="420" w:firstLineChars="200"/>
        <w:rPr>
          <w:rFonts w:ascii="宋体"/>
          <w:szCs w:val="21"/>
          <w:highlight w:val="none"/>
          <w:lang w:val="zh-CN"/>
        </w:rPr>
      </w:pPr>
      <w:r>
        <w:rPr>
          <w:rFonts w:ascii="宋体" w:hAnsi="宋体"/>
          <w:szCs w:val="21"/>
          <w:highlight w:val="none"/>
        </w:rPr>
        <w:t xml:space="preserve"> </w:t>
      </w:r>
      <w:r>
        <w:rPr>
          <w:rFonts w:hint="eastAsia" w:ascii="宋体" w:hAnsi="宋体"/>
          <w:szCs w:val="21"/>
          <w:highlight w:val="none"/>
          <w:lang w:val="zh-CN"/>
        </w:rPr>
        <w:t>经磋商确定最终采购需求和提交最后报价的供应商后，由磋商小组采用综合评分法对提交最后报价的供应商的响应文件和最后报价进行综合评分。</w:t>
      </w:r>
    </w:p>
    <w:p>
      <w:pPr>
        <w:spacing w:line="480" w:lineRule="exact"/>
        <w:ind w:firstLine="420" w:firstLineChars="200"/>
        <w:rPr>
          <w:rFonts w:ascii="宋体" w:hAnsi="宋体"/>
          <w:szCs w:val="21"/>
          <w:highlight w:val="none"/>
          <w:lang w:val="zh-CN"/>
        </w:rPr>
      </w:pPr>
      <w:r>
        <w:rPr>
          <w:rFonts w:hint="eastAsia" w:ascii="宋体" w:hAnsi="宋体"/>
          <w:szCs w:val="21"/>
          <w:highlight w:val="none"/>
          <w:lang w:val="zh-CN"/>
        </w:rPr>
        <w:t>评审办法：综合评分法，是指响应文件满足磋商文件全部实质性要求且按评审因素的量化指标评审得分最高的供应商为成交候选供应商的评审方法。</w:t>
      </w:r>
    </w:p>
    <w:tbl>
      <w:tblPr>
        <w:tblStyle w:val="60"/>
        <w:tblW w:w="9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065"/>
        <w:gridCol w:w="6889"/>
        <w:gridCol w:w="641"/>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419" w:type="dxa"/>
            <w:shd w:val="clear" w:color="auto" w:fill="F1F1F1"/>
            <w:vAlign w:val="center"/>
          </w:tcPr>
          <w:p>
            <w:pPr>
              <w:jc w:val="center"/>
              <w:rPr>
                <w:rFonts w:ascii="宋体" w:hAnsi="宋体" w:cs="宋体"/>
                <w:b/>
                <w:szCs w:val="21"/>
                <w:highlight w:val="none"/>
              </w:rPr>
            </w:pPr>
            <w:r>
              <w:rPr>
                <w:rFonts w:hint="eastAsia" w:ascii="宋体" w:hAnsi="宋体" w:cs="宋体"/>
                <w:b/>
                <w:szCs w:val="21"/>
                <w:highlight w:val="none"/>
              </w:rPr>
              <w:t>序号</w:t>
            </w:r>
          </w:p>
        </w:tc>
        <w:tc>
          <w:tcPr>
            <w:tcW w:w="1065" w:type="dxa"/>
            <w:shd w:val="clear" w:color="auto" w:fill="F1F1F1"/>
            <w:vAlign w:val="center"/>
          </w:tcPr>
          <w:p>
            <w:pPr>
              <w:jc w:val="center"/>
              <w:rPr>
                <w:rFonts w:ascii="宋体" w:hAnsi="宋体" w:cs="宋体"/>
                <w:b/>
                <w:szCs w:val="21"/>
                <w:highlight w:val="none"/>
              </w:rPr>
            </w:pPr>
            <w:r>
              <w:rPr>
                <w:rFonts w:hint="eastAsia" w:ascii="宋体" w:hAnsi="宋体" w:cs="宋体"/>
                <w:b/>
                <w:szCs w:val="21"/>
                <w:highlight w:val="none"/>
              </w:rPr>
              <w:t>评分内容</w:t>
            </w:r>
          </w:p>
        </w:tc>
        <w:tc>
          <w:tcPr>
            <w:tcW w:w="6889" w:type="dxa"/>
            <w:shd w:val="clear" w:color="auto" w:fill="F1F1F1"/>
            <w:vAlign w:val="center"/>
          </w:tcPr>
          <w:p>
            <w:pPr>
              <w:jc w:val="center"/>
              <w:rPr>
                <w:rFonts w:ascii="宋体" w:hAnsi="宋体" w:cs="宋体"/>
                <w:b/>
                <w:szCs w:val="21"/>
                <w:highlight w:val="none"/>
              </w:rPr>
            </w:pPr>
            <w:r>
              <w:rPr>
                <w:rFonts w:hint="eastAsia" w:ascii="宋体" w:hAnsi="宋体" w:cs="宋体"/>
                <w:b/>
                <w:szCs w:val="21"/>
                <w:highlight w:val="none"/>
              </w:rPr>
              <w:t>评分标准</w:t>
            </w:r>
          </w:p>
        </w:tc>
        <w:tc>
          <w:tcPr>
            <w:tcW w:w="641" w:type="dxa"/>
            <w:shd w:val="clear" w:color="auto" w:fill="F1F1F1"/>
            <w:vAlign w:val="center"/>
          </w:tcPr>
          <w:p>
            <w:pPr>
              <w:jc w:val="center"/>
              <w:rPr>
                <w:rFonts w:ascii="宋体" w:hAnsi="宋体" w:cs="宋体"/>
                <w:b/>
                <w:szCs w:val="21"/>
                <w:highlight w:val="none"/>
              </w:rPr>
            </w:pPr>
            <w:r>
              <w:rPr>
                <w:rFonts w:hint="eastAsia" w:ascii="宋体" w:hAnsi="宋体" w:cs="宋体"/>
                <w:b/>
                <w:szCs w:val="21"/>
                <w:highlight w:val="none"/>
              </w:rPr>
              <w:t>满分</w:t>
            </w:r>
          </w:p>
        </w:tc>
        <w:tc>
          <w:tcPr>
            <w:tcW w:w="729" w:type="dxa"/>
            <w:shd w:val="clear" w:color="auto" w:fill="F1F1F1"/>
            <w:vAlign w:val="center"/>
          </w:tcPr>
          <w:p>
            <w:pPr>
              <w:jc w:val="center"/>
              <w:rPr>
                <w:rFonts w:ascii="宋体" w:hAnsi="宋体" w:cs="宋体"/>
                <w:b/>
                <w:szCs w:val="21"/>
                <w:highlight w:val="none"/>
              </w:rPr>
            </w:pPr>
            <w:r>
              <w:rPr>
                <w:rFonts w:hint="eastAsia" w:ascii="宋体" w:hAnsi="宋体" w:cs="宋体"/>
                <w:b/>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9"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1</w:t>
            </w:r>
          </w:p>
        </w:tc>
        <w:tc>
          <w:tcPr>
            <w:tcW w:w="1065"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服务方案</w:t>
            </w:r>
          </w:p>
        </w:tc>
        <w:tc>
          <w:tcPr>
            <w:tcW w:w="6889" w:type="dxa"/>
            <w:vAlign w:val="center"/>
          </w:tcPr>
          <w:p>
            <w:pPr>
              <w:spacing w:line="500" w:lineRule="exact"/>
              <w:rPr>
                <w:rFonts w:ascii="宋体" w:hAnsi="宋体" w:cs="宋体"/>
                <w:szCs w:val="21"/>
                <w:highlight w:val="none"/>
              </w:rPr>
            </w:pPr>
            <w:r>
              <w:rPr>
                <w:rFonts w:hint="eastAsia" w:ascii="宋体" w:hAnsi="宋体" w:cs="宋体"/>
                <w:szCs w:val="21"/>
                <w:highlight w:val="none"/>
              </w:rPr>
              <w:t>1、服务方案工作范围清晰，具有完整的测评服务方案、项目实施计划、项目管理方案、风险说明及风险规避处置措施，测评内容可行性合理。评委对各家服务方案进行横向比较：</w:t>
            </w:r>
          </w:p>
          <w:p>
            <w:pPr>
              <w:spacing w:line="500" w:lineRule="exact"/>
              <w:rPr>
                <w:rFonts w:ascii="宋体" w:hAnsi="宋体" w:cs="宋体"/>
                <w:szCs w:val="21"/>
                <w:highlight w:val="none"/>
              </w:rPr>
            </w:pPr>
            <w:r>
              <w:rPr>
                <w:rFonts w:hint="eastAsia" w:ascii="宋体" w:hAnsi="宋体" w:cs="宋体"/>
                <w:szCs w:val="21"/>
                <w:highlight w:val="none"/>
              </w:rPr>
              <w:t>①方案全面、合理、准确，能很好满足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文件要求，得10分；</w:t>
            </w:r>
          </w:p>
          <w:p>
            <w:pPr>
              <w:spacing w:line="500" w:lineRule="exact"/>
              <w:rPr>
                <w:rFonts w:ascii="宋体" w:hAnsi="宋体" w:cs="宋体"/>
                <w:szCs w:val="21"/>
                <w:highlight w:val="none"/>
              </w:rPr>
            </w:pPr>
            <w:r>
              <w:rPr>
                <w:rFonts w:hint="eastAsia" w:ascii="宋体" w:hAnsi="宋体" w:cs="宋体"/>
                <w:szCs w:val="21"/>
                <w:highlight w:val="none"/>
              </w:rPr>
              <w:t>②方案较合理、准确，能较好满足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文件要求，得8分；</w:t>
            </w:r>
          </w:p>
          <w:p>
            <w:pPr>
              <w:spacing w:line="500" w:lineRule="exact"/>
              <w:rPr>
                <w:rFonts w:ascii="宋体" w:hAnsi="宋体" w:cs="宋体"/>
                <w:szCs w:val="21"/>
                <w:highlight w:val="none"/>
              </w:rPr>
            </w:pPr>
            <w:r>
              <w:rPr>
                <w:rFonts w:hint="eastAsia" w:ascii="宋体" w:hAnsi="宋体" w:cs="宋体"/>
                <w:szCs w:val="21"/>
                <w:highlight w:val="none"/>
              </w:rPr>
              <w:t>③方案基本合理、准确，基本满足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文件要求，得6分；</w:t>
            </w:r>
          </w:p>
          <w:p>
            <w:pPr>
              <w:spacing w:line="500" w:lineRule="exact"/>
              <w:rPr>
                <w:rFonts w:ascii="宋体" w:hAnsi="宋体" w:cs="宋体"/>
                <w:szCs w:val="21"/>
                <w:highlight w:val="none"/>
              </w:rPr>
            </w:pPr>
            <w:r>
              <w:rPr>
                <w:rFonts w:hint="eastAsia" w:ascii="宋体" w:hAnsi="宋体" w:cs="宋体"/>
                <w:szCs w:val="21"/>
                <w:highlight w:val="none"/>
              </w:rPr>
              <w:t>④差或未提供不得分。</w:t>
            </w:r>
          </w:p>
          <w:p>
            <w:pPr>
              <w:spacing w:line="500" w:lineRule="exact"/>
              <w:rPr>
                <w:rFonts w:ascii="宋体" w:hAnsi="宋体" w:cs="宋体"/>
                <w:szCs w:val="21"/>
                <w:highlight w:val="none"/>
              </w:rPr>
            </w:pPr>
            <w:r>
              <w:rPr>
                <w:rFonts w:hint="eastAsia" w:ascii="宋体" w:hAnsi="宋体" w:cs="宋体"/>
                <w:szCs w:val="21"/>
                <w:highlight w:val="none"/>
              </w:rPr>
              <w:t>2、培训宣贯方案：工作范围清晰，具有完整的培训计划、培训方案以及线上线下结合的培训方案和配套工具，提供实际培训、宣贯案例介绍。评委对各家培训宣贯方案进行横向比较：</w:t>
            </w:r>
          </w:p>
          <w:p>
            <w:pPr>
              <w:spacing w:line="500" w:lineRule="exact"/>
              <w:rPr>
                <w:rFonts w:ascii="宋体" w:hAnsi="宋体" w:cs="宋体"/>
                <w:szCs w:val="21"/>
                <w:highlight w:val="none"/>
              </w:rPr>
            </w:pPr>
            <w:r>
              <w:rPr>
                <w:rFonts w:hint="eastAsia" w:ascii="宋体" w:hAnsi="宋体" w:cs="宋体"/>
                <w:szCs w:val="21"/>
                <w:highlight w:val="none"/>
              </w:rPr>
              <w:t>①方案全面、合理、准确，能很好满足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文件要求，得10分；</w:t>
            </w:r>
          </w:p>
          <w:p>
            <w:pPr>
              <w:spacing w:line="500" w:lineRule="exact"/>
              <w:rPr>
                <w:rFonts w:ascii="宋体" w:hAnsi="宋体" w:cs="宋体"/>
                <w:szCs w:val="21"/>
                <w:highlight w:val="none"/>
              </w:rPr>
            </w:pPr>
            <w:r>
              <w:rPr>
                <w:rFonts w:hint="eastAsia" w:ascii="宋体" w:hAnsi="宋体" w:cs="宋体"/>
                <w:szCs w:val="21"/>
                <w:highlight w:val="none"/>
              </w:rPr>
              <w:t>②方案较合理、准确，能较好满足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文件要求，得8分；</w:t>
            </w:r>
          </w:p>
          <w:p>
            <w:pPr>
              <w:spacing w:line="500" w:lineRule="exact"/>
              <w:rPr>
                <w:rFonts w:ascii="宋体" w:hAnsi="宋体" w:cs="宋体"/>
                <w:szCs w:val="21"/>
                <w:highlight w:val="none"/>
              </w:rPr>
            </w:pPr>
            <w:r>
              <w:rPr>
                <w:rFonts w:hint="eastAsia" w:ascii="宋体" w:hAnsi="宋体" w:cs="宋体"/>
                <w:szCs w:val="21"/>
                <w:highlight w:val="none"/>
              </w:rPr>
              <w:t>③方案基本合理、准确，基本满足</w:t>
            </w:r>
            <w:r>
              <w:rPr>
                <w:rFonts w:hint="eastAsia" w:ascii="宋体" w:hAnsi="宋体" w:cs="宋体"/>
                <w:szCs w:val="21"/>
                <w:highlight w:val="none"/>
                <w:lang w:val="en-US" w:eastAsia="zh-CN"/>
              </w:rPr>
              <w:t>磋商</w:t>
            </w:r>
            <w:r>
              <w:rPr>
                <w:rFonts w:hint="eastAsia" w:ascii="宋体" w:hAnsi="宋体" w:cs="宋体"/>
                <w:szCs w:val="21"/>
                <w:highlight w:val="none"/>
              </w:rPr>
              <w:t>文件要求，得6分；</w:t>
            </w:r>
          </w:p>
          <w:p>
            <w:pPr>
              <w:spacing w:line="500" w:lineRule="exact"/>
              <w:rPr>
                <w:rFonts w:ascii="宋体" w:hAnsi="宋体" w:cs="宋体"/>
                <w:szCs w:val="21"/>
                <w:highlight w:val="none"/>
              </w:rPr>
            </w:pPr>
            <w:r>
              <w:rPr>
                <w:rFonts w:hint="eastAsia" w:ascii="宋体" w:hAnsi="宋体" w:cs="宋体"/>
                <w:szCs w:val="21"/>
                <w:highlight w:val="none"/>
              </w:rPr>
              <w:t>④差或未提供不得分。</w:t>
            </w:r>
          </w:p>
        </w:tc>
        <w:tc>
          <w:tcPr>
            <w:tcW w:w="641"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20</w:t>
            </w:r>
          </w:p>
        </w:tc>
        <w:tc>
          <w:tcPr>
            <w:tcW w:w="729" w:type="dxa"/>
            <w:vAlign w:val="center"/>
          </w:tcPr>
          <w:p>
            <w:pPr>
              <w:spacing w:line="5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9" w:type="dxa"/>
            <w:vAlign w:val="center"/>
          </w:tcPr>
          <w:p>
            <w:pPr>
              <w:spacing w:line="500" w:lineRule="exact"/>
              <w:jc w:val="center"/>
              <w:rPr>
                <w:rFonts w:ascii="宋体" w:hAnsi="宋体" w:cs="宋体"/>
                <w:szCs w:val="21"/>
                <w:highlight w:val="none"/>
              </w:rPr>
            </w:pPr>
            <w:r>
              <w:rPr>
                <w:rFonts w:ascii="宋体" w:hAnsi="宋体" w:cs="宋体"/>
                <w:szCs w:val="21"/>
                <w:highlight w:val="none"/>
              </w:rPr>
              <w:t>2</w:t>
            </w:r>
          </w:p>
        </w:tc>
        <w:tc>
          <w:tcPr>
            <w:tcW w:w="1065"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供应商业绩</w:t>
            </w:r>
          </w:p>
        </w:tc>
        <w:tc>
          <w:tcPr>
            <w:tcW w:w="6889" w:type="dxa"/>
            <w:vAlign w:val="center"/>
          </w:tcPr>
          <w:p>
            <w:pPr>
              <w:spacing w:line="500" w:lineRule="exact"/>
              <w:rPr>
                <w:rFonts w:ascii="宋体" w:hAnsi="宋体" w:cs="宋体"/>
                <w:szCs w:val="21"/>
                <w:highlight w:val="none"/>
              </w:rPr>
            </w:pPr>
            <w:r>
              <w:rPr>
                <w:rFonts w:hint="eastAsia" w:ascii="宋体" w:hAnsi="宋体" w:cs="宋体"/>
                <w:szCs w:val="21"/>
                <w:highlight w:val="none"/>
              </w:rPr>
              <w:t>供应商自2018年01月01日以来</w:t>
            </w:r>
            <w:r>
              <w:rPr>
                <w:rFonts w:hint="eastAsia" w:ascii="宋体" w:hAnsi="宋体" w:cs="宋体"/>
                <w:b/>
                <w:bCs/>
                <w:szCs w:val="21"/>
                <w:highlight w:val="none"/>
              </w:rPr>
              <w:t>（以合同签订日期为准）</w:t>
            </w:r>
            <w:r>
              <w:rPr>
                <w:rFonts w:hint="eastAsia" w:ascii="宋体" w:hAnsi="宋体" w:cs="宋体"/>
                <w:szCs w:val="21"/>
                <w:highlight w:val="none"/>
              </w:rPr>
              <w:t>提供等保测评服务业绩的，每提供一个得</w:t>
            </w:r>
            <w:r>
              <w:rPr>
                <w:rFonts w:ascii="宋体" w:hAnsi="宋体" w:cs="宋体"/>
                <w:szCs w:val="21"/>
                <w:highlight w:val="none"/>
              </w:rPr>
              <w:t>5</w:t>
            </w:r>
            <w:r>
              <w:rPr>
                <w:rFonts w:hint="eastAsia" w:ascii="宋体" w:hAnsi="宋体" w:cs="宋体"/>
                <w:szCs w:val="21"/>
                <w:highlight w:val="none"/>
              </w:rPr>
              <w:t>分；最高得</w:t>
            </w:r>
            <w:r>
              <w:rPr>
                <w:rFonts w:ascii="宋体" w:hAnsi="宋体" w:cs="宋体"/>
                <w:szCs w:val="21"/>
                <w:highlight w:val="none"/>
              </w:rPr>
              <w:t>25</w:t>
            </w:r>
            <w:r>
              <w:rPr>
                <w:rFonts w:hint="eastAsia" w:ascii="宋体" w:hAnsi="宋体" w:cs="宋体"/>
                <w:szCs w:val="21"/>
                <w:highlight w:val="none"/>
              </w:rPr>
              <w:t>分。</w:t>
            </w:r>
          </w:p>
          <w:p>
            <w:pPr>
              <w:spacing w:line="500" w:lineRule="exact"/>
              <w:rPr>
                <w:rFonts w:ascii="宋体" w:hAnsi="宋体" w:cs="宋体"/>
                <w:b/>
                <w:bCs/>
                <w:szCs w:val="21"/>
                <w:highlight w:val="none"/>
              </w:rPr>
            </w:pPr>
            <w:r>
              <w:rPr>
                <w:rFonts w:hint="eastAsia" w:ascii="宋体" w:hAnsi="宋体" w:cs="宋体"/>
                <w:b/>
                <w:bCs/>
                <w:szCs w:val="21"/>
                <w:highlight w:val="none"/>
              </w:rPr>
              <w:t>注：</w:t>
            </w:r>
          </w:p>
          <w:p>
            <w:pPr>
              <w:spacing w:line="500" w:lineRule="exact"/>
              <w:rPr>
                <w:rFonts w:ascii="宋体" w:hAnsi="宋体" w:cs="宋体"/>
                <w:b/>
                <w:bCs/>
                <w:szCs w:val="21"/>
                <w:highlight w:val="none"/>
              </w:rPr>
            </w:pPr>
            <w:r>
              <w:rPr>
                <w:rFonts w:hint="eastAsia" w:ascii="宋体" w:hAnsi="宋体" w:cs="宋体"/>
                <w:b/>
                <w:bCs/>
                <w:szCs w:val="21"/>
                <w:highlight w:val="none"/>
              </w:rPr>
              <w:t>①提供合同复印件或扫描件或影印件并加盖供应商公章。</w:t>
            </w:r>
          </w:p>
          <w:p>
            <w:pPr>
              <w:spacing w:line="500" w:lineRule="exact"/>
              <w:rPr>
                <w:rFonts w:ascii="宋体" w:hAnsi="宋体" w:cs="宋体"/>
                <w:b/>
                <w:bCs/>
                <w:szCs w:val="21"/>
                <w:highlight w:val="none"/>
              </w:rPr>
            </w:pPr>
            <w:r>
              <w:rPr>
                <w:rFonts w:hint="eastAsia" w:ascii="宋体" w:hAnsi="宋体" w:cs="宋体"/>
                <w:b/>
                <w:bCs/>
                <w:szCs w:val="21"/>
                <w:highlight w:val="none"/>
              </w:rPr>
              <w:t>②提供由合同甲方（采购人）出具的合同履约验收完成的证明材料，需加盖合同甲方（采购人）公章；</w:t>
            </w:r>
          </w:p>
          <w:p>
            <w:pPr>
              <w:spacing w:line="500" w:lineRule="exact"/>
              <w:rPr>
                <w:rFonts w:ascii="宋体" w:hAnsi="宋体" w:cs="宋体"/>
                <w:b/>
                <w:bCs/>
                <w:szCs w:val="21"/>
                <w:highlight w:val="none"/>
              </w:rPr>
            </w:pPr>
            <w:r>
              <w:rPr>
                <w:rFonts w:hint="eastAsia" w:ascii="宋体" w:hAnsi="宋体" w:cs="宋体"/>
                <w:b/>
                <w:bCs/>
                <w:szCs w:val="21"/>
                <w:highlight w:val="none"/>
              </w:rPr>
              <w:t>③上述材料响应文件中须同时提供，缺少任一材料则该业绩不得分。</w:t>
            </w:r>
          </w:p>
        </w:tc>
        <w:tc>
          <w:tcPr>
            <w:tcW w:w="641" w:type="dxa"/>
            <w:vAlign w:val="center"/>
          </w:tcPr>
          <w:p>
            <w:pPr>
              <w:spacing w:line="500" w:lineRule="exact"/>
              <w:jc w:val="center"/>
              <w:rPr>
                <w:rFonts w:ascii="宋体" w:hAnsi="宋体" w:cs="宋体"/>
                <w:szCs w:val="21"/>
                <w:highlight w:val="none"/>
              </w:rPr>
            </w:pPr>
            <w:r>
              <w:rPr>
                <w:rFonts w:ascii="宋体" w:hAnsi="宋体" w:cs="宋体"/>
                <w:szCs w:val="21"/>
                <w:highlight w:val="none"/>
              </w:rPr>
              <w:t>25</w:t>
            </w:r>
          </w:p>
        </w:tc>
        <w:tc>
          <w:tcPr>
            <w:tcW w:w="729" w:type="dxa"/>
            <w:vAlign w:val="center"/>
          </w:tcPr>
          <w:p>
            <w:pPr>
              <w:spacing w:line="5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9" w:type="dxa"/>
            <w:vAlign w:val="center"/>
          </w:tcPr>
          <w:p>
            <w:pPr>
              <w:spacing w:line="500" w:lineRule="exact"/>
              <w:jc w:val="center"/>
              <w:rPr>
                <w:rFonts w:ascii="宋体" w:hAnsi="宋体" w:cs="宋体"/>
                <w:szCs w:val="21"/>
                <w:highlight w:val="none"/>
              </w:rPr>
            </w:pPr>
            <w:r>
              <w:rPr>
                <w:rFonts w:ascii="宋体" w:hAnsi="宋体" w:cs="宋体"/>
                <w:szCs w:val="21"/>
                <w:highlight w:val="none"/>
              </w:rPr>
              <w:t>3</w:t>
            </w:r>
          </w:p>
        </w:tc>
        <w:tc>
          <w:tcPr>
            <w:tcW w:w="1065"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供应商实力</w:t>
            </w:r>
          </w:p>
        </w:tc>
        <w:tc>
          <w:tcPr>
            <w:tcW w:w="6889" w:type="dxa"/>
            <w:vAlign w:val="center"/>
          </w:tcPr>
          <w:p>
            <w:pPr>
              <w:spacing w:line="500" w:lineRule="exact"/>
              <w:rPr>
                <w:rFonts w:ascii="宋体" w:hAnsi="宋体" w:cs="宋体"/>
                <w:szCs w:val="21"/>
                <w:highlight w:val="none"/>
              </w:rPr>
            </w:pPr>
            <w:r>
              <w:rPr>
                <w:rFonts w:hint="eastAsia" w:ascii="宋体" w:hAnsi="宋体" w:cs="宋体"/>
                <w:szCs w:val="21"/>
                <w:highlight w:val="none"/>
              </w:rPr>
              <w:t>1、</w:t>
            </w:r>
            <w:r>
              <w:rPr>
                <w:rFonts w:hint="eastAsia" w:ascii="宋体" w:hAnsi="宋体"/>
                <w:szCs w:val="21"/>
                <w:highlight w:val="none"/>
              </w:rPr>
              <w:t>供应商具有ISO9001质量管理体系认证证书、ISO/IEC 27001信息安全管理体系认证证书、ISO/IEC20000信息技术服务管理体系认证证书、ISO14001环境管理体系认证证书和ISO45001职业健康安全管理体系认证证书且认证覆盖业务范围包括网络安全等级保护测评的，每提供一个证书得1分，本小项最多得5分。</w:t>
            </w:r>
          </w:p>
          <w:p>
            <w:pPr>
              <w:spacing w:line="500" w:lineRule="exact"/>
              <w:rPr>
                <w:rFonts w:ascii="宋体" w:hAnsi="宋体" w:cs="宋体"/>
                <w:szCs w:val="21"/>
                <w:highlight w:val="none"/>
              </w:rPr>
            </w:pPr>
            <w:r>
              <w:rPr>
                <w:rFonts w:hint="eastAsia" w:ascii="宋体" w:hAnsi="宋体" w:cs="宋体"/>
                <w:b/>
                <w:bCs/>
                <w:szCs w:val="21"/>
                <w:highlight w:val="none"/>
              </w:rPr>
              <w:t>注：响应文件中须提供证书复印件或扫描件或影印件。</w:t>
            </w:r>
          </w:p>
          <w:p>
            <w:pPr>
              <w:spacing w:line="500" w:lineRule="exact"/>
              <w:rPr>
                <w:rFonts w:ascii="宋体" w:hAnsi="宋体" w:cs="宋体"/>
                <w:szCs w:val="21"/>
                <w:highlight w:val="none"/>
              </w:rPr>
            </w:pPr>
            <w:r>
              <w:rPr>
                <w:rFonts w:hint="eastAsia" w:ascii="宋体" w:hAnsi="宋体" w:cs="宋体"/>
                <w:szCs w:val="21"/>
                <w:highlight w:val="none"/>
              </w:rPr>
              <w:t>2、供应商具有ISO22301业务连续性管理体系认证证书</w:t>
            </w:r>
            <w:bookmarkStart w:id="78" w:name="OLE_LINK1"/>
            <w:r>
              <w:rPr>
                <w:rFonts w:hint="eastAsia" w:ascii="宋体" w:hAnsi="宋体" w:cs="宋体"/>
                <w:szCs w:val="21"/>
                <w:highlight w:val="none"/>
              </w:rPr>
              <w:t>且认证覆盖的业务范围包括网络安全等级保护测评的</w:t>
            </w:r>
            <w:bookmarkEnd w:id="78"/>
            <w:r>
              <w:rPr>
                <w:rFonts w:hint="eastAsia" w:ascii="宋体" w:hAnsi="宋体" w:cs="宋体"/>
                <w:szCs w:val="21"/>
                <w:highlight w:val="none"/>
              </w:rPr>
              <w:t>，</w:t>
            </w:r>
            <w:r>
              <w:rPr>
                <w:rFonts w:hint="eastAsia" w:ascii="宋体" w:hAnsi="宋体" w:cs="宋体"/>
                <w:bCs/>
                <w:szCs w:val="21"/>
                <w:highlight w:val="none"/>
                <w:lang w:val="zh-CN"/>
              </w:rPr>
              <w:t>得5分，</w:t>
            </w:r>
            <w:r>
              <w:rPr>
                <w:rFonts w:hint="eastAsia" w:ascii="宋体" w:hAnsi="宋体" w:cs="宋体"/>
                <w:szCs w:val="21"/>
                <w:highlight w:val="none"/>
              </w:rPr>
              <w:t>否则不得分。</w:t>
            </w:r>
          </w:p>
          <w:p>
            <w:pPr>
              <w:spacing w:line="500" w:lineRule="exact"/>
              <w:rPr>
                <w:rFonts w:ascii="宋体" w:hAnsi="宋体" w:cs="宋体"/>
                <w:szCs w:val="21"/>
                <w:highlight w:val="none"/>
              </w:rPr>
            </w:pPr>
            <w:r>
              <w:rPr>
                <w:rFonts w:hint="eastAsia" w:ascii="宋体" w:hAnsi="宋体" w:cs="宋体"/>
                <w:b/>
                <w:bCs/>
                <w:szCs w:val="21"/>
                <w:highlight w:val="none"/>
              </w:rPr>
              <w:t>注：响应文件中须提供证书复印件或扫描件或影印件。</w:t>
            </w:r>
          </w:p>
          <w:p>
            <w:pPr>
              <w:spacing w:line="500" w:lineRule="exact"/>
              <w:rPr>
                <w:rFonts w:ascii="宋体" w:hAnsi="宋体" w:cs="宋体"/>
                <w:szCs w:val="21"/>
                <w:highlight w:val="none"/>
              </w:rPr>
            </w:pPr>
            <w:r>
              <w:rPr>
                <w:rFonts w:hint="eastAsia" w:ascii="宋体" w:hAnsi="宋体" w:cs="宋体"/>
                <w:szCs w:val="21"/>
                <w:highlight w:val="none"/>
              </w:rPr>
              <w:t>3、自2018年1月1日以来，供应商获得过国家网络安全等级保护协调小组办公室颁发的“全国网络安全等级保护测评机构先进单位”称号的，得5分</w:t>
            </w:r>
            <w:r>
              <w:rPr>
                <w:rFonts w:hint="eastAsia" w:ascii="宋体" w:hAnsi="宋体" w:cs="宋体"/>
                <w:bCs/>
                <w:color w:val="000000"/>
                <w:szCs w:val="21"/>
                <w:highlight w:val="none"/>
                <w:lang w:val="zh-CN"/>
              </w:rPr>
              <w:t>，</w:t>
            </w:r>
            <w:r>
              <w:rPr>
                <w:rFonts w:hint="eastAsia" w:ascii="宋体" w:hAnsi="宋体" w:cs="宋体"/>
                <w:szCs w:val="21"/>
                <w:highlight w:val="none"/>
              </w:rPr>
              <w:t>否则不得分。</w:t>
            </w:r>
          </w:p>
          <w:p>
            <w:pPr>
              <w:spacing w:line="500" w:lineRule="exact"/>
              <w:rPr>
                <w:rFonts w:ascii="宋体" w:hAnsi="宋体" w:cs="宋体"/>
                <w:bCs/>
                <w:color w:val="000000"/>
                <w:szCs w:val="21"/>
                <w:highlight w:val="none"/>
                <w:lang w:val="zh-CN"/>
              </w:rPr>
            </w:pPr>
            <w:r>
              <w:rPr>
                <w:rFonts w:hint="eastAsia" w:ascii="宋体" w:hAnsi="宋体" w:cs="宋体"/>
                <w:b/>
                <w:bCs/>
                <w:szCs w:val="21"/>
                <w:highlight w:val="none"/>
              </w:rPr>
              <w:t>注：响应文件中须提供相关证明材料。</w:t>
            </w:r>
          </w:p>
          <w:p>
            <w:pPr>
              <w:spacing w:line="500" w:lineRule="exact"/>
              <w:rPr>
                <w:rFonts w:ascii="宋体" w:hAnsi="宋体" w:cs="宋体"/>
                <w:szCs w:val="21"/>
                <w:highlight w:val="none"/>
              </w:rPr>
            </w:pPr>
            <w:r>
              <w:rPr>
                <w:rFonts w:hint="eastAsia" w:ascii="宋体" w:hAnsi="宋体" w:cs="宋体"/>
                <w:szCs w:val="21"/>
                <w:highlight w:val="none"/>
              </w:rPr>
              <w:t>4、供应商具有信息技术服务运行维护标准符合性证书（ITSS）的，得</w:t>
            </w:r>
            <w:r>
              <w:rPr>
                <w:rFonts w:ascii="宋体" w:hAnsi="宋体" w:cs="宋体"/>
                <w:szCs w:val="21"/>
                <w:highlight w:val="none"/>
              </w:rPr>
              <w:t>5</w:t>
            </w:r>
            <w:r>
              <w:rPr>
                <w:rFonts w:hint="eastAsia" w:ascii="宋体" w:hAnsi="宋体" w:cs="宋体"/>
                <w:szCs w:val="21"/>
                <w:highlight w:val="none"/>
              </w:rPr>
              <w:t>分，否则不得分。</w:t>
            </w:r>
          </w:p>
          <w:p>
            <w:pPr>
              <w:spacing w:line="500" w:lineRule="exact"/>
              <w:rPr>
                <w:rFonts w:ascii="宋体" w:hAnsi="宋体" w:cs="宋体"/>
                <w:bCs/>
                <w:color w:val="000000"/>
                <w:szCs w:val="21"/>
                <w:highlight w:val="none"/>
                <w:lang w:val="zh-CN"/>
              </w:rPr>
            </w:pPr>
            <w:r>
              <w:rPr>
                <w:rFonts w:hint="eastAsia" w:ascii="宋体" w:hAnsi="宋体" w:cs="宋体"/>
                <w:b/>
                <w:bCs/>
                <w:szCs w:val="21"/>
                <w:highlight w:val="none"/>
              </w:rPr>
              <w:t>注：响应文件中须提供</w:t>
            </w:r>
            <w:r>
              <w:rPr>
                <w:rFonts w:hint="eastAsia" w:ascii="宋体" w:hAnsi="宋体" w:cs="宋体"/>
                <w:b/>
                <w:szCs w:val="21"/>
                <w:highlight w:val="none"/>
              </w:rPr>
              <w:t>证书复印件或扫描件或影印件</w:t>
            </w:r>
            <w:r>
              <w:rPr>
                <w:rFonts w:hint="eastAsia" w:ascii="宋体" w:hAnsi="宋体" w:cs="宋体"/>
                <w:b/>
                <w:bCs/>
                <w:szCs w:val="21"/>
                <w:highlight w:val="none"/>
              </w:rPr>
              <w:t>。</w:t>
            </w:r>
          </w:p>
        </w:tc>
        <w:tc>
          <w:tcPr>
            <w:tcW w:w="641"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2</w:t>
            </w:r>
            <w:r>
              <w:rPr>
                <w:rFonts w:ascii="宋体" w:hAnsi="宋体" w:cs="宋体"/>
                <w:szCs w:val="21"/>
                <w:highlight w:val="none"/>
              </w:rPr>
              <w:t>0</w:t>
            </w:r>
          </w:p>
        </w:tc>
        <w:tc>
          <w:tcPr>
            <w:tcW w:w="729" w:type="dxa"/>
            <w:vAlign w:val="center"/>
          </w:tcPr>
          <w:p>
            <w:pPr>
              <w:spacing w:line="5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9"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4</w:t>
            </w:r>
          </w:p>
        </w:tc>
        <w:tc>
          <w:tcPr>
            <w:tcW w:w="1065"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项目人员</w:t>
            </w:r>
          </w:p>
        </w:tc>
        <w:tc>
          <w:tcPr>
            <w:tcW w:w="6889" w:type="dxa"/>
            <w:vAlign w:val="center"/>
          </w:tcPr>
          <w:p>
            <w:pPr>
              <w:spacing w:line="480" w:lineRule="exact"/>
              <w:rPr>
                <w:rFonts w:ascii="宋体" w:hAnsi="宋体" w:cs="宋体"/>
                <w:szCs w:val="21"/>
                <w:highlight w:val="none"/>
              </w:rPr>
            </w:pPr>
            <w:r>
              <w:rPr>
                <w:rFonts w:hint="eastAsia" w:ascii="宋体" w:hAnsi="宋体" w:cs="宋体"/>
                <w:szCs w:val="21"/>
                <w:highlight w:val="none"/>
              </w:rPr>
              <w:t>供应商针对本项目需求拟配备的项目团队应设置质量经理、项目经理等，具体评审指标如下：</w:t>
            </w:r>
          </w:p>
          <w:p>
            <w:pPr>
              <w:spacing w:line="480" w:lineRule="exact"/>
              <w:rPr>
                <w:rFonts w:ascii="宋体" w:hAnsi="宋体" w:cs="宋体"/>
                <w:b/>
                <w:bCs/>
                <w:szCs w:val="21"/>
                <w:highlight w:val="none"/>
              </w:rPr>
            </w:pPr>
            <w:r>
              <w:rPr>
                <w:rFonts w:hint="eastAsia" w:ascii="宋体" w:hAnsi="宋体" w:cs="宋体"/>
                <w:b/>
                <w:bCs/>
                <w:szCs w:val="21"/>
                <w:highlight w:val="none"/>
              </w:rPr>
              <w:t>1、质量经理（1人，本小项满分5分）：</w:t>
            </w:r>
          </w:p>
          <w:p>
            <w:pPr>
              <w:numPr>
                <w:ilvl w:val="0"/>
                <w:numId w:val="7"/>
              </w:numPr>
              <w:spacing w:line="480" w:lineRule="exact"/>
              <w:rPr>
                <w:rFonts w:ascii="宋体" w:hAnsi="宋体" w:cs="宋体"/>
                <w:szCs w:val="21"/>
                <w:highlight w:val="none"/>
              </w:rPr>
            </w:pPr>
            <w:r>
              <w:rPr>
                <w:rFonts w:ascii="宋体" w:hAnsi="宋体" w:cs="宋体"/>
                <w:szCs w:val="21"/>
                <w:highlight w:val="none"/>
              </w:rPr>
              <w:t>具有</w:t>
            </w:r>
            <w:r>
              <w:rPr>
                <w:rFonts w:hint="eastAsia" w:ascii="宋体" w:hAnsi="宋体" w:cs="宋体"/>
                <w:szCs w:val="21"/>
                <w:highlight w:val="none"/>
              </w:rPr>
              <w:t>中级（含）以上等级测评师</w:t>
            </w:r>
            <w:r>
              <w:rPr>
                <w:rFonts w:ascii="宋体" w:hAnsi="宋体" w:cs="宋体"/>
                <w:szCs w:val="21"/>
                <w:highlight w:val="none"/>
              </w:rPr>
              <w:t>证书，得1分；</w:t>
            </w:r>
          </w:p>
          <w:p>
            <w:pPr>
              <w:numPr>
                <w:ilvl w:val="0"/>
                <w:numId w:val="7"/>
              </w:numPr>
              <w:spacing w:line="480" w:lineRule="exact"/>
              <w:rPr>
                <w:rFonts w:ascii="宋体" w:hAnsi="宋体" w:cs="宋体"/>
                <w:szCs w:val="21"/>
                <w:highlight w:val="none"/>
              </w:rPr>
            </w:pPr>
            <w:r>
              <w:rPr>
                <w:rFonts w:hint="eastAsia" w:ascii="宋体" w:hAnsi="宋体" w:cs="宋体"/>
                <w:szCs w:val="21"/>
                <w:highlight w:val="none"/>
              </w:rPr>
              <w:t>具有注册信息安全专业人员（CISP）证书，得</w:t>
            </w:r>
            <w:r>
              <w:rPr>
                <w:rFonts w:ascii="宋体" w:hAnsi="宋体" w:cs="宋体"/>
                <w:szCs w:val="21"/>
                <w:highlight w:val="none"/>
              </w:rPr>
              <w:t>2</w:t>
            </w:r>
            <w:r>
              <w:rPr>
                <w:rFonts w:hint="eastAsia" w:ascii="宋体" w:hAnsi="宋体" w:cs="宋体"/>
                <w:szCs w:val="21"/>
                <w:highlight w:val="none"/>
              </w:rPr>
              <w:t>分；</w:t>
            </w:r>
          </w:p>
          <w:p>
            <w:pPr>
              <w:numPr>
                <w:ilvl w:val="0"/>
                <w:numId w:val="7"/>
              </w:numPr>
              <w:spacing w:line="480" w:lineRule="exact"/>
              <w:rPr>
                <w:rFonts w:ascii="宋体" w:hAnsi="宋体" w:cs="宋体"/>
                <w:szCs w:val="21"/>
                <w:highlight w:val="none"/>
              </w:rPr>
            </w:pPr>
            <w:r>
              <w:rPr>
                <w:rFonts w:ascii="宋体" w:hAnsi="宋体" w:cs="宋体"/>
                <w:szCs w:val="21"/>
                <w:highlight w:val="none"/>
              </w:rPr>
              <w:t>具有重要信息系统</w:t>
            </w:r>
            <w:r>
              <w:rPr>
                <w:rFonts w:hint="eastAsia" w:ascii="宋体" w:hAnsi="宋体" w:cs="宋体"/>
                <w:szCs w:val="21"/>
                <w:highlight w:val="none"/>
              </w:rPr>
              <w:t>保护</w:t>
            </w:r>
            <w:r>
              <w:rPr>
                <w:rFonts w:ascii="宋体" w:hAnsi="宋体" w:cs="宋体"/>
                <w:szCs w:val="21"/>
                <w:highlight w:val="none"/>
              </w:rPr>
              <w:t>人员（</w:t>
            </w:r>
            <w:r>
              <w:rPr>
                <w:rFonts w:hint="eastAsia" w:ascii="宋体" w:hAnsi="宋体" w:cs="宋体"/>
                <w:szCs w:val="21"/>
                <w:highlight w:val="none"/>
              </w:rPr>
              <w:t>证书类别：</w:t>
            </w:r>
            <w:r>
              <w:rPr>
                <w:rFonts w:ascii="宋体" w:hAnsi="宋体" w:cs="宋体"/>
                <w:szCs w:val="21"/>
                <w:highlight w:val="none"/>
              </w:rPr>
              <w:t>CIIP-T）证书，得2分；</w:t>
            </w:r>
          </w:p>
          <w:p>
            <w:pPr>
              <w:spacing w:line="480" w:lineRule="exact"/>
              <w:rPr>
                <w:rFonts w:ascii="宋体" w:hAnsi="宋体" w:cs="宋体"/>
                <w:b/>
                <w:bCs/>
                <w:szCs w:val="21"/>
                <w:highlight w:val="none"/>
              </w:rPr>
            </w:pPr>
            <w:r>
              <w:rPr>
                <w:rFonts w:hint="eastAsia" w:ascii="宋体" w:hAnsi="宋体" w:cs="宋体"/>
                <w:b/>
                <w:bCs/>
                <w:szCs w:val="21"/>
                <w:highlight w:val="none"/>
              </w:rPr>
              <w:t>2、项目经理（1人，本小项满分5分）：</w:t>
            </w:r>
          </w:p>
          <w:p>
            <w:pPr>
              <w:numPr>
                <w:ilvl w:val="0"/>
                <w:numId w:val="8"/>
              </w:numPr>
              <w:spacing w:line="480" w:lineRule="exact"/>
              <w:rPr>
                <w:rFonts w:ascii="宋体" w:hAnsi="宋体" w:cs="宋体"/>
                <w:szCs w:val="21"/>
                <w:highlight w:val="none"/>
              </w:rPr>
            </w:pPr>
            <w:r>
              <w:rPr>
                <w:rFonts w:hint="eastAsia" w:ascii="宋体" w:hAnsi="宋体" w:cs="宋体"/>
                <w:szCs w:val="21"/>
                <w:highlight w:val="none"/>
              </w:rPr>
              <w:t>具有高级测评师</w:t>
            </w:r>
            <w:r>
              <w:rPr>
                <w:rFonts w:ascii="宋体" w:hAnsi="宋体" w:cs="宋体"/>
                <w:szCs w:val="21"/>
                <w:highlight w:val="none"/>
              </w:rPr>
              <w:t>证书，得1分；</w:t>
            </w:r>
          </w:p>
          <w:p>
            <w:pPr>
              <w:numPr>
                <w:ilvl w:val="0"/>
                <w:numId w:val="8"/>
              </w:numPr>
              <w:spacing w:line="480" w:lineRule="exact"/>
              <w:rPr>
                <w:rFonts w:ascii="宋体" w:hAnsi="宋体" w:cs="宋体"/>
                <w:szCs w:val="21"/>
                <w:highlight w:val="none"/>
              </w:rPr>
            </w:pPr>
            <w:r>
              <w:rPr>
                <w:rFonts w:hint="eastAsia" w:ascii="宋体" w:hAnsi="宋体" w:cs="宋体"/>
                <w:szCs w:val="21"/>
                <w:highlight w:val="none"/>
              </w:rPr>
              <w:t>具有注册信息安全认证讲师（CISI）证书，得</w:t>
            </w:r>
            <w:r>
              <w:rPr>
                <w:rFonts w:ascii="宋体" w:hAnsi="宋体" w:cs="宋体"/>
                <w:szCs w:val="21"/>
                <w:highlight w:val="none"/>
              </w:rPr>
              <w:t>2</w:t>
            </w:r>
            <w:r>
              <w:rPr>
                <w:rFonts w:hint="eastAsia" w:ascii="宋体" w:hAnsi="宋体" w:cs="宋体"/>
                <w:szCs w:val="21"/>
                <w:highlight w:val="none"/>
              </w:rPr>
              <w:t>分；</w:t>
            </w:r>
          </w:p>
          <w:p>
            <w:pPr>
              <w:numPr>
                <w:ilvl w:val="0"/>
                <w:numId w:val="8"/>
              </w:numPr>
              <w:spacing w:line="480" w:lineRule="exact"/>
              <w:rPr>
                <w:rFonts w:ascii="宋体" w:hAnsi="宋体" w:cs="宋体"/>
                <w:szCs w:val="21"/>
                <w:highlight w:val="none"/>
              </w:rPr>
            </w:pPr>
            <w:r>
              <w:rPr>
                <w:rFonts w:ascii="宋体" w:hAnsi="宋体" w:cs="宋体"/>
                <w:szCs w:val="21"/>
                <w:highlight w:val="none"/>
              </w:rPr>
              <w:t>具有</w:t>
            </w:r>
            <w:r>
              <w:rPr>
                <w:rFonts w:hint="eastAsia" w:ascii="宋体" w:hAnsi="宋体" w:cs="宋体"/>
                <w:szCs w:val="21"/>
                <w:highlight w:val="none"/>
              </w:rPr>
              <w:t>信息安全保障人员认证（</w:t>
            </w:r>
            <w:r>
              <w:rPr>
                <w:rFonts w:ascii="宋体" w:hAnsi="宋体" w:cs="宋体"/>
                <w:szCs w:val="21"/>
                <w:highlight w:val="none"/>
              </w:rPr>
              <w:t>CISAW</w:t>
            </w:r>
            <w:r>
              <w:rPr>
                <w:rFonts w:hint="eastAsia" w:ascii="宋体" w:hAnsi="宋体" w:cs="宋体"/>
                <w:szCs w:val="21"/>
                <w:highlight w:val="none"/>
              </w:rPr>
              <w:t>）证书</w:t>
            </w:r>
            <w:r>
              <w:rPr>
                <w:rFonts w:ascii="宋体" w:hAnsi="宋体" w:cs="宋体"/>
                <w:szCs w:val="21"/>
                <w:highlight w:val="none"/>
              </w:rPr>
              <w:t>，</w:t>
            </w:r>
            <w:r>
              <w:rPr>
                <w:rFonts w:hint="eastAsia" w:ascii="宋体" w:hAnsi="宋体" w:cs="宋体"/>
                <w:szCs w:val="21"/>
                <w:highlight w:val="none"/>
              </w:rPr>
              <w:t>且认证方向为风险管理和安全运维方向的，</w:t>
            </w:r>
            <w:r>
              <w:rPr>
                <w:rFonts w:ascii="宋体" w:hAnsi="宋体" w:cs="宋体"/>
                <w:szCs w:val="21"/>
                <w:highlight w:val="none"/>
              </w:rPr>
              <w:t>得2分。</w:t>
            </w:r>
          </w:p>
          <w:p>
            <w:pPr>
              <w:spacing w:line="480" w:lineRule="exact"/>
              <w:rPr>
                <w:rFonts w:ascii="宋体" w:hAnsi="宋体" w:cs="宋体"/>
                <w:b/>
                <w:bCs/>
                <w:szCs w:val="21"/>
                <w:highlight w:val="none"/>
              </w:rPr>
            </w:pPr>
            <w:r>
              <w:rPr>
                <w:rFonts w:hint="eastAsia" w:ascii="宋体" w:hAnsi="宋体" w:cs="宋体"/>
                <w:szCs w:val="21"/>
                <w:highlight w:val="none"/>
              </w:rPr>
              <w:t>3、</w:t>
            </w:r>
            <w:r>
              <w:rPr>
                <w:rFonts w:hint="eastAsia" w:ascii="宋体" w:hAnsi="宋体" w:cs="宋体"/>
                <w:b/>
                <w:bCs/>
                <w:szCs w:val="21"/>
                <w:highlight w:val="none"/>
              </w:rPr>
              <w:t>项目组其他成员</w:t>
            </w:r>
            <w:r>
              <w:rPr>
                <w:rFonts w:hint="eastAsia" w:ascii="宋体" w:hAnsi="宋体" w:cs="宋体"/>
                <w:b/>
                <w:szCs w:val="21"/>
                <w:highlight w:val="none"/>
              </w:rPr>
              <w:t>（本小项满分5分）</w:t>
            </w:r>
            <w:r>
              <w:rPr>
                <w:rFonts w:hint="eastAsia" w:ascii="宋体" w:hAnsi="宋体" w:cs="宋体"/>
                <w:b/>
                <w:bCs/>
                <w:szCs w:val="21"/>
                <w:highlight w:val="none"/>
              </w:rPr>
              <w:t>：</w:t>
            </w:r>
          </w:p>
          <w:p>
            <w:pPr>
              <w:spacing w:line="480" w:lineRule="exact"/>
              <w:rPr>
                <w:rFonts w:ascii="宋体" w:hAnsi="宋体" w:cs="宋体"/>
                <w:szCs w:val="21"/>
                <w:highlight w:val="none"/>
              </w:rPr>
            </w:pPr>
            <w:r>
              <w:rPr>
                <w:rFonts w:hint="eastAsia" w:ascii="宋体" w:hAnsi="宋体" w:cs="宋体"/>
                <w:szCs w:val="21"/>
                <w:highlight w:val="none"/>
              </w:rPr>
              <w:t>项目组其他成员（不包括质量经理、项目经理）具有初级（含）以上等级测评师证书，每提供一名得1.5分，最多得3分；每提供1名具有注册信息安全专业人员（CISP）证书或网络安全能力认证培训讲师（CCS</w:t>
            </w:r>
            <w:r>
              <w:rPr>
                <w:rFonts w:ascii="宋体" w:hAnsi="宋体" w:cs="宋体"/>
                <w:szCs w:val="21"/>
                <w:highlight w:val="none"/>
              </w:rPr>
              <w:t>C</w:t>
            </w:r>
            <w:r>
              <w:rPr>
                <w:rFonts w:hint="eastAsia" w:ascii="宋体" w:hAnsi="宋体" w:cs="宋体"/>
                <w:szCs w:val="21"/>
                <w:highlight w:val="none"/>
              </w:rPr>
              <w:t>）证书或信息安全保障人员认证（CISAW）证书，得1分，最多得2分。</w:t>
            </w:r>
          </w:p>
          <w:p>
            <w:pPr>
              <w:spacing w:line="480" w:lineRule="exact"/>
              <w:rPr>
                <w:rFonts w:ascii="宋体" w:hAnsi="宋体" w:cs="宋体"/>
                <w:b/>
                <w:bCs/>
                <w:szCs w:val="21"/>
                <w:highlight w:val="none"/>
              </w:rPr>
            </w:pPr>
            <w:r>
              <w:rPr>
                <w:rFonts w:hint="eastAsia" w:ascii="宋体" w:hAnsi="宋体" w:cs="宋体"/>
                <w:b/>
                <w:bCs/>
                <w:szCs w:val="21"/>
                <w:highlight w:val="none"/>
              </w:rPr>
              <w:t>备注：响应文件中提供以下证明材料：</w:t>
            </w:r>
          </w:p>
          <w:p>
            <w:pPr>
              <w:spacing w:line="480" w:lineRule="exact"/>
              <w:rPr>
                <w:rFonts w:ascii="宋体" w:hAnsi="宋体" w:cs="宋体"/>
                <w:b/>
                <w:bCs/>
                <w:szCs w:val="21"/>
                <w:highlight w:val="none"/>
              </w:rPr>
            </w:pPr>
            <w:r>
              <w:rPr>
                <w:rFonts w:hint="eastAsia" w:ascii="宋体" w:hAnsi="宋体" w:cs="宋体"/>
                <w:b/>
                <w:bCs/>
                <w:szCs w:val="21"/>
                <w:highlight w:val="none"/>
              </w:rPr>
              <w:t>①以上证书复印件或扫描件或影印件；</w:t>
            </w:r>
          </w:p>
          <w:p>
            <w:pPr>
              <w:spacing w:line="480" w:lineRule="exact"/>
              <w:rPr>
                <w:rFonts w:hint="eastAsia" w:ascii="宋体" w:hAnsi="宋体" w:eastAsia="宋体" w:cs="宋体"/>
                <w:szCs w:val="21"/>
                <w:highlight w:val="none"/>
                <w:lang w:eastAsia="zh-CN"/>
              </w:rPr>
            </w:pPr>
            <w:r>
              <w:rPr>
                <w:rFonts w:ascii="宋体" w:hAnsi="宋体" w:cs="宋体"/>
                <w:b/>
                <w:bCs/>
                <w:szCs w:val="21"/>
                <w:highlight w:val="none"/>
              </w:rPr>
              <w:t>②</w:t>
            </w:r>
            <w:r>
              <w:rPr>
                <w:rFonts w:hint="eastAsia" w:ascii="宋体" w:hAnsi="宋体" w:cs="宋体"/>
                <w:b/>
                <w:bCs/>
                <w:szCs w:val="21"/>
                <w:highlight w:val="none"/>
              </w:rPr>
              <w:t>响应人为以上</w:t>
            </w:r>
            <w:r>
              <w:rPr>
                <w:rFonts w:ascii="宋体" w:hAnsi="宋体" w:cs="宋体"/>
                <w:b/>
                <w:bCs/>
                <w:szCs w:val="21"/>
                <w:highlight w:val="none"/>
              </w:rPr>
              <w:t>人员</w:t>
            </w:r>
            <w:r>
              <w:rPr>
                <w:rFonts w:hint="eastAsia" w:ascii="宋体" w:hAnsi="宋体" w:cs="宋体"/>
                <w:b/>
                <w:bCs/>
                <w:szCs w:val="21"/>
                <w:highlight w:val="none"/>
              </w:rPr>
              <w:t>缴纳的近三个月中任意一个月（9月或10月或</w:t>
            </w:r>
            <w:r>
              <w:rPr>
                <w:rFonts w:hint="eastAsia" w:ascii="宋体" w:hAnsi="宋体" w:cs="宋体"/>
                <w:b/>
                <w:bCs/>
                <w:szCs w:val="21"/>
                <w:highlight w:val="none"/>
                <w:lang w:val="en-US" w:eastAsia="zh-CN"/>
              </w:rPr>
              <w:t>11</w:t>
            </w:r>
            <w:r>
              <w:rPr>
                <w:rFonts w:hint="eastAsia" w:ascii="宋体" w:hAnsi="宋体" w:cs="宋体"/>
                <w:b/>
                <w:bCs/>
                <w:szCs w:val="21"/>
                <w:highlight w:val="none"/>
              </w:rPr>
              <w:t>月）的社保证明材料</w:t>
            </w:r>
            <w:r>
              <w:rPr>
                <w:rFonts w:hint="eastAsia" w:ascii="宋体" w:hAnsi="宋体" w:cs="宋体"/>
                <w:b/>
                <w:bCs/>
                <w:szCs w:val="21"/>
                <w:highlight w:val="none"/>
                <w:lang w:eastAsia="zh-CN"/>
              </w:rPr>
              <w:t>。</w:t>
            </w:r>
          </w:p>
        </w:tc>
        <w:tc>
          <w:tcPr>
            <w:tcW w:w="641"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15</w:t>
            </w:r>
          </w:p>
        </w:tc>
        <w:tc>
          <w:tcPr>
            <w:tcW w:w="729" w:type="dxa"/>
            <w:vAlign w:val="center"/>
          </w:tcPr>
          <w:p>
            <w:pPr>
              <w:spacing w:line="5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9"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5</w:t>
            </w:r>
          </w:p>
        </w:tc>
        <w:tc>
          <w:tcPr>
            <w:tcW w:w="1065"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售后服务能力</w:t>
            </w:r>
          </w:p>
        </w:tc>
        <w:tc>
          <w:tcPr>
            <w:tcW w:w="6889" w:type="dxa"/>
            <w:vAlign w:val="center"/>
          </w:tcPr>
          <w:p>
            <w:pPr>
              <w:spacing w:line="500" w:lineRule="exact"/>
              <w:rPr>
                <w:rFonts w:ascii="宋体" w:hAnsi="宋体" w:cs="宋体"/>
                <w:szCs w:val="21"/>
                <w:highlight w:val="none"/>
              </w:rPr>
            </w:pPr>
            <w:r>
              <w:rPr>
                <w:rFonts w:hint="eastAsia" w:ascii="宋体" w:hAnsi="宋体" w:cs="宋体"/>
                <w:szCs w:val="21"/>
                <w:highlight w:val="none"/>
              </w:rPr>
              <w:t>1、供应商在完成测评工作后应为甲方提供常态化的安全技术支撑、网络与信息安全培训、宣贯服务，提供售后服务承诺，评委对各家售后服务内容进行横向比较：售后服务内容详实具体得5分、售后服务内容较具体得4分、售后服务内容一般得3分、差或未提供不得分。</w:t>
            </w:r>
          </w:p>
          <w:p>
            <w:pPr>
              <w:spacing w:line="500" w:lineRule="exact"/>
              <w:rPr>
                <w:rFonts w:ascii="宋体" w:hAnsi="宋体" w:cs="宋体"/>
                <w:szCs w:val="21"/>
                <w:highlight w:val="none"/>
              </w:rPr>
            </w:pPr>
            <w:r>
              <w:rPr>
                <w:rFonts w:hint="eastAsia" w:ascii="宋体" w:hAnsi="宋体" w:cs="宋体"/>
                <w:szCs w:val="21"/>
                <w:highlight w:val="none"/>
              </w:rPr>
              <w:t>2、供应商具有国家信息安全水平考试运营中心颁发的国家信息安全水平考试（NISP）授权认证机构证书的，得5分。</w:t>
            </w:r>
          </w:p>
          <w:p>
            <w:pPr>
              <w:spacing w:line="500" w:lineRule="exact"/>
              <w:rPr>
                <w:rFonts w:ascii="宋体" w:hAnsi="宋体" w:cs="宋体"/>
                <w:szCs w:val="21"/>
                <w:highlight w:val="none"/>
              </w:rPr>
            </w:pPr>
            <w:r>
              <w:rPr>
                <w:rFonts w:hint="eastAsia" w:ascii="宋体" w:hAnsi="宋体" w:cs="宋体"/>
                <w:b/>
                <w:bCs/>
                <w:szCs w:val="21"/>
                <w:highlight w:val="none"/>
              </w:rPr>
              <w:t>注：响应文件中须提供证书复印件或扫描件或影印件。</w:t>
            </w:r>
          </w:p>
        </w:tc>
        <w:tc>
          <w:tcPr>
            <w:tcW w:w="641" w:type="dxa"/>
            <w:vAlign w:val="center"/>
          </w:tcPr>
          <w:p>
            <w:pPr>
              <w:spacing w:line="500" w:lineRule="exact"/>
              <w:jc w:val="center"/>
              <w:rPr>
                <w:rFonts w:ascii="宋体" w:hAnsi="宋体" w:cs="宋体"/>
                <w:szCs w:val="21"/>
                <w:highlight w:val="none"/>
              </w:rPr>
            </w:pPr>
            <w:r>
              <w:rPr>
                <w:rFonts w:ascii="宋体" w:hAnsi="宋体" w:cs="宋体"/>
                <w:szCs w:val="21"/>
                <w:highlight w:val="none"/>
              </w:rPr>
              <w:t>1</w:t>
            </w:r>
            <w:r>
              <w:rPr>
                <w:rFonts w:hint="eastAsia" w:ascii="宋体" w:hAnsi="宋体" w:cs="宋体"/>
                <w:szCs w:val="21"/>
                <w:highlight w:val="none"/>
              </w:rPr>
              <w:t>0</w:t>
            </w:r>
          </w:p>
        </w:tc>
        <w:tc>
          <w:tcPr>
            <w:tcW w:w="729" w:type="dxa"/>
            <w:vAlign w:val="center"/>
          </w:tcPr>
          <w:p>
            <w:pPr>
              <w:spacing w:line="500" w:lineRule="exact"/>
              <w:jc w:val="cente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419" w:type="dxa"/>
            <w:vAlign w:val="center"/>
          </w:tcPr>
          <w:p>
            <w:pPr>
              <w:spacing w:line="500" w:lineRule="exact"/>
              <w:jc w:val="center"/>
              <w:rPr>
                <w:rFonts w:ascii="宋体" w:hAnsi="宋体" w:cs="宋体"/>
                <w:szCs w:val="21"/>
                <w:highlight w:val="none"/>
              </w:rPr>
            </w:pPr>
            <w:r>
              <w:rPr>
                <w:rFonts w:hint="eastAsia" w:ascii="宋体" w:hAnsi="宋体" w:cs="宋体"/>
                <w:szCs w:val="21"/>
                <w:highlight w:val="none"/>
              </w:rPr>
              <w:t>6</w:t>
            </w:r>
          </w:p>
        </w:tc>
        <w:tc>
          <w:tcPr>
            <w:tcW w:w="1065" w:type="dxa"/>
            <w:vAlign w:val="center"/>
          </w:tcPr>
          <w:p>
            <w:pPr>
              <w:spacing w:line="500" w:lineRule="exact"/>
              <w:jc w:val="center"/>
              <w:rPr>
                <w:rFonts w:ascii="宋体" w:hAnsi="宋体" w:cs="宋体"/>
                <w:szCs w:val="21"/>
                <w:highlight w:val="none"/>
              </w:rPr>
            </w:pPr>
            <w:r>
              <w:rPr>
                <w:rFonts w:hint="eastAsia" w:ascii="宋体" w:hAnsi="宋体"/>
                <w:sz w:val="22"/>
                <w:szCs w:val="22"/>
                <w:highlight w:val="none"/>
              </w:rPr>
              <w:t>报价</w:t>
            </w:r>
          </w:p>
        </w:tc>
        <w:tc>
          <w:tcPr>
            <w:tcW w:w="6889" w:type="dxa"/>
            <w:vAlign w:val="center"/>
          </w:tcPr>
          <w:p>
            <w:pPr>
              <w:spacing w:line="500" w:lineRule="exact"/>
              <w:ind w:firstLine="420" w:firstLineChars="200"/>
              <w:rPr>
                <w:rFonts w:ascii="宋体" w:hAnsi="宋体"/>
                <w:szCs w:val="21"/>
                <w:highlight w:val="none"/>
              </w:rPr>
            </w:pPr>
            <w:r>
              <w:rPr>
                <w:rFonts w:ascii="宋体" w:hAnsi="宋体"/>
                <w:szCs w:val="21"/>
                <w:highlight w:val="none"/>
              </w:rPr>
              <w:t>价格分统一采用低价优先法，即满足磋商文件要求且报价最低的最后磋商报价为磋商基准价，其价格分</w:t>
            </w:r>
            <w:r>
              <w:rPr>
                <w:rFonts w:ascii="宋体" w:hAnsi="宋体"/>
                <w:b/>
                <w:szCs w:val="21"/>
                <w:highlight w:val="none"/>
              </w:rPr>
              <w:t>为满分</w:t>
            </w:r>
            <w:r>
              <w:rPr>
                <w:rFonts w:hint="eastAsia" w:ascii="宋体" w:hAnsi="宋体"/>
                <w:b/>
                <w:szCs w:val="21"/>
                <w:highlight w:val="none"/>
              </w:rPr>
              <w:t>1</w:t>
            </w:r>
            <w:r>
              <w:rPr>
                <w:rFonts w:ascii="宋体" w:hAnsi="宋体"/>
                <w:b/>
                <w:szCs w:val="21"/>
                <w:highlight w:val="none"/>
              </w:rPr>
              <w:t>0分。</w:t>
            </w:r>
            <w:r>
              <w:rPr>
                <w:rFonts w:ascii="宋体" w:hAnsi="宋体"/>
                <w:szCs w:val="21"/>
                <w:highlight w:val="none"/>
              </w:rPr>
              <w:t xml:space="preserve">其他供应商的价格分统一按照下列公式计算： </w:t>
            </w:r>
          </w:p>
          <w:p>
            <w:pPr>
              <w:spacing w:line="500" w:lineRule="exact"/>
              <w:ind w:firstLine="420" w:firstLineChars="200"/>
              <w:rPr>
                <w:rFonts w:ascii="宋体" w:hAnsi="宋体"/>
                <w:szCs w:val="21"/>
                <w:highlight w:val="none"/>
              </w:rPr>
            </w:pPr>
            <w:r>
              <w:rPr>
                <w:rFonts w:ascii="宋体" w:hAnsi="宋体"/>
                <w:szCs w:val="21"/>
                <w:highlight w:val="none"/>
              </w:rPr>
              <w:t>磋商报价得分＝（磋商基准价/最后磋商报价）×</w:t>
            </w:r>
            <w:r>
              <w:rPr>
                <w:rFonts w:hint="eastAsia" w:ascii="宋体" w:hAnsi="宋体"/>
                <w:szCs w:val="21"/>
                <w:highlight w:val="none"/>
              </w:rPr>
              <w:t>1</w:t>
            </w:r>
            <w:r>
              <w:rPr>
                <w:rFonts w:ascii="宋体" w:hAnsi="宋体"/>
                <w:szCs w:val="21"/>
                <w:highlight w:val="none"/>
              </w:rPr>
              <w:t>0％×100 。</w:t>
            </w:r>
          </w:p>
          <w:p>
            <w:pPr>
              <w:spacing w:line="500" w:lineRule="exact"/>
              <w:rPr>
                <w:rFonts w:ascii="宋体" w:hAnsi="宋体"/>
                <w:szCs w:val="21"/>
                <w:highlight w:val="none"/>
              </w:rPr>
            </w:pPr>
            <w:r>
              <w:rPr>
                <w:rFonts w:ascii="宋体" w:hAnsi="宋体"/>
                <w:szCs w:val="21"/>
                <w:highlight w:val="none"/>
              </w:rPr>
              <w:t>（报价分计算至小数点后第二位，小数点后第三位四舍五入；）</w:t>
            </w:r>
          </w:p>
        </w:tc>
        <w:tc>
          <w:tcPr>
            <w:tcW w:w="641" w:type="dxa"/>
            <w:vAlign w:val="center"/>
          </w:tcPr>
          <w:p>
            <w:pPr>
              <w:spacing w:line="500" w:lineRule="exact"/>
              <w:jc w:val="center"/>
              <w:rPr>
                <w:rFonts w:ascii="宋体" w:hAnsi="宋体"/>
                <w:szCs w:val="21"/>
                <w:highlight w:val="none"/>
              </w:rPr>
            </w:pPr>
            <w:r>
              <w:rPr>
                <w:rFonts w:ascii="宋体" w:hAnsi="宋体" w:cs="宋体"/>
                <w:szCs w:val="21"/>
                <w:highlight w:val="none"/>
              </w:rPr>
              <w:t>1</w:t>
            </w:r>
            <w:r>
              <w:rPr>
                <w:rFonts w:hint="eastAsia" w:ascii="宋体" w:hAnsi="宋体" w:cs="宋体"/>
                <w:szCs w:val="21"/>
                <w:highlight w:val="none"/>
              </w:rPr>
              <w:t>0</w:t>
            </w:r>
          </w:p>
        </w:tc>
        <w:tc>
          <w:tcPr>
            <w:tcW w:w="729" w:type="dxa"/>
            <w:vAlign w:val="center"/>
          </w:tcPr>
          <w:p>
            <w:pPr>
              <w:spacing w:line="500" w:lineRule="exact"/>
              <w:jc w:val="center"/>
              <w:rPr>
                <w:rFonts w:ascii="宋体" w:hAnsi="宋体" w:cs="宋体"/>
                <w:szCs w:val="21"/>
                <w:highlight w:val="none"/>
              </w:rPr>
            </w:pPr>
          </w:p>
        </w:tc>
      </w:tr>
    </w:tbl>
    <w:p>
      <w:pPr>
        <w:rPr>
          <w:highlight w:val="none"/>
        </w:rPr>
      </w:pPr>
    </w:p>
    <w:p>
      <w:pPr>
        <w:spacing w:line="360" w:lineRule="auto"/>
        <w:ind w:firstLine="422" w:firstLineChars="200"/>
        <w:rPr>
          <w:rFonts w:ascii="宋体" w:hAnsi="宋体" w:cs="宋体"/>
          <w:b/>
          <w:szCs w:val="21"/>
          <w:highlight w:val="none"/>
        </w:rPr>
      </w:pPr>
    </w:p>
    <w:p>
      <w:pPr>
        <w:spacing w:line="360" w:lineRule="auto"/>
        <w:ind w:firstLine="422" w:firstLineChars="200"/>
        <w:rPr>
          <w:rFonts w:ascii="宋体" w:cs="宋体"/>
          <w:b/>
          <w:szCs w:val="21"/>
          <w:highlight w:val="none"/>
        </w:rPr>
      </w:pPr>
      <w:r>
        <w:rPr>
          <w:rFonts w:hint="eastAsia" w:ascii="宋体" w:hAnsi="宋体" w:cs="宋体"/>
          <w:b/>
          <w:szCs w:val="21"/>
          <w:highlight w:val="none"/>
        </w:rPr>
        <w:t>备注：</w:t>
      </w:r>
    </w:p>
    <w:p>
      <w:pPr>
        <w:spacing w:line="360" w:lineRule="auto"/>
        <w:ind w:firstLine="422" w:firstLineChars="200"/>
        <w:rPr>
          <w:rFonts w:ascii="宋体" w:cs="宋体"/>
          <w:b/>
          <w:snapToGrid w:val="0"/>
          <w:kern w:val="0"/>
          <w:szCs w:val="21"/>
          <w:highlight w:val="none"/>
        </w:rPr>
      </w:pPr>
      <w:r>
        <w:rPr>
          <w:rFonts w:hint="eastAsia" w:ascii="宋体" w:hAnsi="宋体" w:cs="宋体"/>
          <w:b/>
          <w:szCs w:val="21"/>
          <w:highlight w:val="none"/>
        </w:rPr>
        <w:t>（</w:t>
      </w:r>
      <w:r>
        <w:rPr>
          <w:rFonts w:ascii="宋体" w:hAnsi="宋体" w:cs="宋体"/>
          <w:b/>
          <w:szCs w:val="21"/>
          <w:highlight w:val="none"/>
        </w:rPr>
        <w:t>1</w:t>
      </w:r>
      <w:r>
        <w:rPr>
          <w:rFonts w:hint="eastAsia" w:ascii="宋体" w:hAnsi="宋体" w:cs="宋体"/>
          <w:b/>
          <w:szCs w:val="21"/>
          <w:highlight w:val="none"/>
        </w:rPr>
        <w:t>）各磋商小组成员按以上评分项目进行评判，</w:t>
      </w:r>
      <w:r>
        <w:rPr>
          <w:rFonts w:hint="eastAsia" w:ascii="宋体" w:hAnsi="宋体" w:cs="宋体"/>
          <w:b/>
          <w:snapToGrid w:val="0"/>
          <w:kern w:val="0"/>
          <w:szCs w:val="21"/>
          <w:highlight w:val="none"/>
        </w:rPr>
        <w:t>磋商小组各成员应当独立对每个有效供应商的响应情况进行评价、打分，然后汇总每个供应商每项评分因素的得分。各供应商的最终得分为所有磋商小组成员评分的平均值（平均值计算精确至小数点后二位，小数点后第三位四舍五入）。</w:t>
      </w:r>
    </w:p>
    <w:p>
      <w:pPr>
        <w:spacing w:line="360" w:lineRule="auto"/>
        <w:ind w:firstLine="310" w:firstLineChars="147"/>
        <w:rPr>
          <w:rFonts w:ascii="宋体" w:cs="宋体"/>
          <w:b/>
          <w:color w:val="FF0000"/>
          <w:szCs w:val="21"/>
          <w:highlight w:val="none"/>
        </w:rPr>
      </w:pPr>
      <w:r>
        <w:rPr>
          <w:rFonts w:hint="eastAsia" w:ascii="宋体" w:hAnsi="宋体" w:cs="宋体"/>
          <w:b/>
          <w:szCs w:val="21"/>
          <w:highlight w:val="none"/>
        </w:rPr>
        <w:t>（2）供应商提供的业绩证明材料要能清晰反映业绩评分的实质内容，否则磋商小组不予认可。</w:t>
      </w:r>
    </w:p>
    <w:p>
      <w:pPr>
        <w:spacing w:line="360" w:lineRule="auto"/>
        <w:ind w:firstLine="316" w:firstLineChars="150"/>
        <w:rPr>
          <w:rFonts w:ascii="宋体"/>
          <w:szCs w:val="21"/>
          <w:highlight w:val="none"/>
        </w:rPr>
      </w:pPr>
      <w:r>
        <w:rPr>
          <w:rFonts w:hint="eastAsia" w:ascii="宋体" w:hAnsi="宋体" w:cs="宋体"/>
          <w:b/>
          <w:szCs w:val="21"/>
          <w:highlight w:val="none"/>
        </w:rPr>
        <w:t>（3）以上评分项中要求供应商提供复印件或影印件等相关证明材料的，相关证明材料均须加盖供应商公章，否则该项均不得分。</w:t>
      </w:r>
      <w:r>
        <w:rPr>
          <w:rFonts w:ascii="宋体" w:hAnsi="宋体"/>
          <w:szCs w:val="21"/>
          <w:highlight w:val="none"/>
        </w:rPr>
        <w:t xml:space="preserve">  </w:t>
      </w:r>
    </w:p>
    <w:p>
      <w:pPr>
        <w:spacing w:line="480" w:lineRule="exact"/>
        <w:rPr>
          <w:rFonts w:ascii="宋体"/>
          <w:szCs w:val="21"/>
          <w:highlight w:val="none"/>
        </w:rPr>
      </w:pPr>
      <w:r>
        <w:rPr>
          <w:rFonts w:ascii="宋体" w:hAnsi="宋体"/>
          <w:szCs w:val="21"/>
          <w:highlight w:val="none"/>
        </w:rPr>
        <w:t xml:space="preserve">  </w:t>
      </w:r>
      <w:r>
        <w:rPr>
          <w:rFonts w:ascii="宋体" w:hAnsi="宋体"/>
          <w:b/>
          <w:bCs/>
          <w:szCs w:val="21"/>
          <w:highlight w:val="none"/>
        </w:rPr>
        <w:t xml:space="preserve"> 2</w:t>
      </w:r>
      <w:r>
        <w:rPr>
          <w:rFonts w:hint="eastAsia" w:ascii="宋体" w:hAnsi="宋体"/>
          <w:b/>
          <w:bCs/>
          <w:szCs w:val="21"/>
          <w:highlight w:val="none"/>
        </w:rPr>
        <w:t>6</w:t>
      </w:r>
      <w:r>
        <w:rPr>
          <w:rFonts w:ascii="宋体" w:hAnsi="宋体"/>
          <w:b/>
          <w:bCs/>
          <w:szCs w:val="21"/>
          <w:highlight w:val="none"/>
        </w:rPr>
        <w:t xml:space="preserve"> </w:t>
      </w:r>
      <w:r>
        <w:rPr>
          <w:rFonts w:hint="eastAsia" w:ascii="宋体" w:hAnsi="宋体"/>
          <w:b/>
          <w:bCs/>
          <w:szCs w:val="21"/>
          <w:highlight w:val="none"/>
        </w:rPr>
        <w:t>澄清及错误修正</w:t>
      </w:r>
    </w:p>
    <w:p>
      <w:pPr>
        <w:spacing w:line="480" w:lineRule="exact"/>
        <w:ind w:firstLine="420" w:firstLineChars="200"/>
        <w:rPr>
          <w:rFonts w:ascii="宋体" w:hAnsi="宋体"/>
          <w:szCs w:val="21"/>
          <w:highlight w:val="none"/>
          <w:lang w:val="zh-CN"/>
        </w:rPr>
      </w:pPr>
      <w:r>
        <w:rPr>
          <w:rFonts w:hint="eastAsia"/>
          <w:szCs w:val="21"/>
          <w:highlight w:val="none"/>
        </w:rPr>
        <w:t>磋商和评审过程中，如响应文件中存在的细微偏差并未在实质上违背磋商文件的要求，只是在个别地方存在漏项或者提供不完整的信息或数据，并且补正这些漏项或不完整不会对其它供应商造成不公平的结果的，则该细微偏差不构成供应商的非实质响应。磋商小组可以书面形式要求供应商对所提交响应文件中不明确内容进行书面澄清或说明，或者对细微偏差进行补正。有关澄清说明与答复，供应商应以书面形式按磋商文件的约定进行签署。磋商小组不接受供应商主动</w:t>
      </w:r>
      <w:r>
        <w:rPr>
          <w:rFonts w:hint="eastAsia" w:ascii="宋体" w:hAnsi="宋体"/>
          <w:szCs w:val="21"/>
          <w:highlight w:val="none"/>
          <w:lang w:val="zh-CN"/>
        </w:rPr>
        <w:t>提出的澄清、说明或补正。</w:t>
      </w:r>
    </w:p>
    <w:p>
      <w:pPr>
        <w:autoSpaceDE w:val="0"/>
        <w:autoSpaceDN w:val="0"/>
        <w:adjustRightInd w:val="0"/>
        <w:snapToGrid w:val="0"/>
        <w:spacing w:line="480" w:lineRule="exact"/>
        <w:ind w:firstLine="411" w:firstLineChars="196"/>
        <w:rPr>
          <w:rFonts w:ascii="宋体" w:hAnsi="宋体"/>
          <w:b/>
          <w:bCs/>
          <w:szCs w:val="21"/>
          <w:highlight w:val="none"/>
        </w:rPr>
      </w:pPr>
      <w:r>
        <w:rPr>
          <w:rFonts w:hint="eastAsia" w:ascii="宋体" w:hAnsi="宋体"/>
          <w:szCs w:val="21"/>
          <w:highlight w:val="none"/>
        </w:rPr>
        <w:t>27、</w:t>
      </w:r>
      <w:r>
        <w:rPr>
          <w:rFonts w:hint="eastAsia" w:ascii="宋体" w:hAnsi="宋体"/>
          <w:b/>
          <w:bCs/>
          <w:szCs w:val="21"/>
          <w:highlight w:val="none"/>
        </w:rPr>
        <w:t>确定成交供应商</w:t>
      </w:r>
    </w:p>
    <w:p>
      <w:pPr>
        <w:widowControl/>
        <w:spacing w:line="500" w:lineRule="exact"/>
        <w:ind w:firstLine="420"/>
        <w:jc w:val="left"/>
        <w:rPr>
          <w:rStyle w:val="70"/>
          <w:color w:val="000000" w:themeColor="text1"/>
          <w:szCs w:val="21"/>
          <w:highlight w:val="none"/>
        </w:rPr>
      </w:pPr>
      <w:r>
        <w:rPr>
          <w:rFonts w:hint="eastAsia" w:ascii="宋体" w:hAnsi="宋体"/>
          <w:szCs w:val="21"/>
          <w:highlight w:val="none"/>
        </w:rPr>
        <w:t>磋商小组查询排序前三名的供应商信用记录，供应商存在不良信用记录的，磋商小组</w:t>
      </w:r>
      <w:r>
        <w:rPr>
          <w:highlight w:val="none"/>
        </w:rPr>
        <w:fldChar w:fldCharType="begin"/>
      </w:r>
      <w:r>
        <w:rPr>
          <w:highlight w:val="none"/>
        </w:rPr>
        <w:instrText xml:space="preserve"> HYPERLINK "http://www.ccgp.gov.cn/），若核查存在政府采购严重违法失信名单记录的投标人，评标委员会不得将其推荐为中标候选人，依序递补，并再次对递补的投标人进行核查及计算信用评审价。" </w:instrText>
      </w:r>
      <w:r>
        <w:rPr>
          <w:highlight w:val="none"/>
        </w:rPr>
        <w:fldChar w:fldCharType="separate"/>
      </w:r>
      <w:r>
        <w:rPr>
          <w:rStyle w:val="70"/>
          <w:rFonts w:hint="eastAsia"/>
          <w:color w:val="000000" w:themeColor="text1"/>
          <w:szCs w:val="21"/>
          <w:highlight w:val="none"/>
          <w:u w:val="none"/>
        </w:rPr>
        <w:t>不得将其推荐为成交候选人，依序递补，并再次对递补的供应商进行核查。</w:t>
      </w:r>
      <w:r>
        <w:rPr>
          <w:rStyle w:val="70"/>
          <w:rFonts w:hint="eastAsia"/>
          <w:color w:val="000000" w:themeColor="text1"/>
          <w:szCs w:val="21"/>
          <w:highlight w:val="none"/>
          <w:u w:val="none"/>
        </w:rPr>
        <w:fldChar w:fldCharType="end"/>
      </w:r>
    </w:p>
    <w:p>
      <w:pPr>
        <w:widowControl/>
        <w:spacing w:line="500" w:lineRule="exact"/>
        <w:ind w:firstLine="420"/>
        <w:jc w:val="left"/>
        <w:rPr>
          <w:rFonts w:ascii="宋体" w:hAnsi="宋体"/>
          <w:szCs w:val="21"/>
          <w:highlight w:val="none"/>
        </w:rPr>
      </w:pPr>
      <w:r>
        <w:rPr>
          <w:rFonts w:ascii="宋体" w:hAnsi="宋体"/>
          <w:szCs w:val="21"/>
          <w:highlight w:val="none"/>
        </w:rPr>
        <w:t>27.1</w:t>
      </w:r>
      <w:r>
        <w:rPr>
          <w:rFonts w:hint="eastAsia" w:ascii="宋体" w:hAnsi="宋体"/>
          <w:szCs w:val="21"/>
          <w:highlight w:val="none"/>
        </w:rPr>
        <w:t>不良信用记录是指：（1）供应商被人民法院列入失信被执行人；（2）供应商或其法定代表人或拟派项目经理（项目负责人）被人民检察院列入行贿犯罪档案；（3）供应商被市场监督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以联合体形式参加磋商的，联合体任何成员存在以上不良信用记录的，联合体投标将被认定为响应无效。</w:t>
      </w:r>
    </w:p>
    <w:p>
      <w:pPr>
        <w:widowControl/>
        <w:spacing w:line="500" w:lineRule="exact"/>
        <w:ind w:firstLine="420"/>
        <w:jc w:val="left"/>
        <w:rPr>
          <w:rFonts w:ascii="宋体" w:hAnsi="宋体" w:cs="宋体"/>
          <w:color w:val="000000"/>
          <w:szCs w:val="21"/>
          <w:highlight w:val="none"/>
        </w:rPr>
      </w:pPr>
      <w:r>
        <w:rPr>
          <w:rFonts w:hint="eastAsia" w:ascii="宋体" w:hAnsi="宋体"/>
          <w:szCs w:val="21"/>
          <w:highlight w:val="none"/>
        </w:rPr>
        <w:t>2</w:t>
      </w:r>
      <w:r>
        <w:rPr>
          <w:rFonts w:ascii="宋体" w:hAnsi="宋体"/>
          <w:szCs w:val="21"/>
          <w:highlight w:val="none"/>
        </w:rPr>
        <w:t>7.2</w:t>
      </w:r>
      <w:r>
        <w:rPr>
          <w:rFonts w:hint="eastAsia" w:ascii="宋体" w:hAnsi="宋体"/>
          <w:szCs w:val="21"/>
          <w:highlight w:val="none"/>
        </w:rPr>
        <w:t>信用信息查询渠道：中国政府采购网（www.ccgp.gov.cn）、“信用中国”网站（</w:t>
      </w:r>
      <w:r>
        <w:rPr>
          <w:highlight w:val="none"/>
        </w:rPr>
        <w:fldChar w:fldCharType="begin"/>
      </w:r>
      <w:r>
        <w:rPr>
          <w:highlight w:val="none"/>
        </w:rPr>
        <w:instrText xml:space="preserve"> HYPERLINK "http://www.creditchina.gov.cn" </w:instrText>
      </w:r>
      <w:r>
        <w:rPr>
          <w:highlight w:val="none"/>
        </w:rPr>
        <w:fldChar w:fldCharType="separate"/>
      </w:r>
      <w:r>
        <w:rPr>
          <w:rFonts w:hint="eastAsia"/>
          <w:highlight w:val="none"/>
        </w:rPr>
        <w:t>www.creditchina.gov.cn</w:t>
      </w:r>
      <w:r>
        <w:rPr>
          <w:rFonts w:hint="eastAsia"/>
          <w:highlight w:val="none"/>
        </w:rPr>
        <w:fldChar w:fldCharType="end"/>
      </w:r>
      <w:r>
        <w:rPr>
          <w:rFonts w:hint="eastAsia" w:ascii="宋体" w:hAnsi="宋体"/>
          <w:szCs w:val="21"/>
          <w:highlight w:val="none"/>
        </w:rPr>
        <w:t>）。</w:t>
      </w:r>
    </w:p>
    <w:p>
      <w:pPr>
        <w:spacing w:line="480" w:lineRule="exact"/>
        <w:ind w:firstLine="420" w:firstLineChars="200"/>
        <w:rPr>
          <w:rFonts w:ascii="宋体"/>
          <w:szCs w:val="21"/>
          <w:highlight w:val="none"/>
          <w:lang w:val="zh-CN"/>
        </w:rPr>
      </w:pPr>
      <w:r>
        <w:rPr>
          <w:rFonts w:hint="eastAsia" w:ascii="宋体" w:hAnsi="宋体"/>
          <w:szCs w:val="21"/>
          <w:highlight w:val="none"/>
        </w:rPr>
        <w:t>磋商小组应当对通过失信核查的供应商根据综合评分情况，按照评审得分由高到低顺序推荐</w:t>
      </w:r>
      <w:r>
        <w:rPr>
          <w:rFonts w:ascii="宋体" w:hAnsi="宋体"/>
          <w:szCs w:val="21"/>
          <w:highlight w:val="none"/>
        </w:rPr>
        <w:t>3</w:t>
      </w:r>
      <w:r>
        <w:rPr>
          <w:rFonts w:hint="eastAsia" w:ascii="宋体" w:hAnsi="宋体"/>
          <w:szCs w:val="21"/>
          <w:highlight w:val="none"/>
        </w:rPr>
        <w:t>名成交候选供应商，并编写评审报告。评审得分相同的，按照最后报价由低到高的顺序推荐；评审得分且最后报价相同的，按照技术指标优劣顺序推荐；评审总分、最后报价、技术指标优劣均相同的，采用采购人摇号方式确定成交候选人排序。</w:t>
      </w:r>
    </w:p>
    <w:p>
      <w:pPr>
        <w:spacing w:line="360" w:lineRule="auto"/>
        <w:ind w:firstLine="413" w:firstLineChars="196"/>
        <w:rPr>
          <w:rFonts w:ascii="宋体" w:cs="宋体"/>
          <w:b/>
          <w:szCs w:val="21"/>
          <w:highlight w:val="none"/>
        </w:rPr>
      </w:pPr>
      <w:r>
        <w:rPr>
          <w:rFonts w:ascii="宋体" w:hAnsi="宋体" w:cs="宋体"/>
          <w:b/>
          <w:szCs w:val="21"/>
          <w:highlight w:val="none"/>
        </w:rPr>
        <w:t>2</w:t>
      </w:r>
      <w:r>
        <w:rPr>
          <w:rFonts w:hint="eastAsia" w:ascii="宋体" w:hAnsi="宋体" w:cs="宋体"/>
          <w:b/>
          <w:szCs w:val="21"/>
          <w:highlight w:val="none"/>
        </w:rPr>
        <w:t>8、开标评标异常情况处理</w:t>
      </w:r>
    </w:p>
    <w:p>
      <w:pPr>
        <w:spacing w:line="360" w:lineRule="auto"/>
        <w:ind w:firstLine="420" w:firstLineChars="200"/>
        <w:rPr>
          <w:rFonts w:ascii="宋体" w:cs="宋体"/>
          <w:szCs w:val="21"/>
          <w:highlight w:val="none"/>
        </w:rPr>
      </w:pPr>
      <w:r>
        <w:rPr>
          <w:rFonts w:ascii="宋体" w:hAnsi="宋体" w:cs="宋体"/>
          <w:szCs w:val="21"/>
          <w:highlight w:val="none"/>
        </w:rPr>
        <w:t>2</w:t>
      </w:r>
      <w:r>
        <w:rPr>
          <w:rFonts w:hint="eastAsia" w:ascii="宋体" w:hAnsi="宋体" w:cs="宋体"/>
          <w:szCs w:val="21"/>
          <w:highlight w:val="none"/>
        </w:rPr>
        <w:t>8</w:t>
      </w:r>
      <w:r>
        <w:rPr>
          <w:rFonts w:ascii="宋体" w:hAnsi="宋体" w:cs="宋体"/>
          <w:szCs w:val="21"/>
          <w:highlight w:val="none"/>
        </w:rPr>
        <w:t>.1</w:t>
      </w:r>
      <w:r>
        <w:rPr>
          <w:rFonts w:hint="eastAsia" w:ascii="宋体" w:hAnsi="宋体" w:cs="宋体"/>
          <w:szCs w:val="21"/>
          <w:highlight w:val="none"/>
        </w:rPr>
        <w:t>、在磋商采购中，出现下列情况之一的，应予废标，采购单位重新组织采购：</w:t>
      </w:r>
    </w:p>
    <w:p>
      <w:pPr>
        <w:spacing w:line="360" w:lineRule="auto"/>
        <w:ind w:firstLine="420" w:firstLineChars="200"/>
        <w:rPr>
          <w:rFonts w:ascii="宋体" w:cs="宋体"/>
          <w:szCs w:val="21"/>
          <w:highlight w:val="none"/>
        </w:rPr>
      </w:pPr>
      <w:r>
        <w:rPr>
          <w:rFonts w:ascii="宋体" w:hAnsi="宋体" w:cs="宋体"/>
          <w:szCs w:val="21"/>
          <w:highlight w:val="none"/>
        </w:rPr>
        <w:t xml:space="preserve">(1) </w:t>
      </w:r>
      <w:r>
        <w:rPr>
          <w:rFonts w:hint="eastAsia" w:ascii="宋体" w:hAnsi="宋体" w:cs="宋体"/>
          <w:szCs w:val="21"/>
          <w:highlight w:val="none"/>
        </w:rPr>
        <w:t>符合专业条件的供应商或者对磋商文件作实质响应的供应商不足三家的；</w:t>
      </w:r>
    </w:p>
    <w:p>
      <w:pPr>
        <w:spacing w:line="360" w:lineRule="auto"/>
        <w:ind w:firstLine="420" w:firstLineChars="200"/>
        <w:rPr>
          <w:rFonts w:ascii="宋体" w:cs="宋体"/>
          <w:szCs w:val="21"/>
          <w:highlight w:val="none"/>
        </w:rPr>
      </w:pPr>
      <w:r>
        <w:rPr>
          <w:rFonts w:ascii="宋体" w:hAnsi="宋体" w:cs="宋体"/>
          <w:szCs w:val="21"/>
          <w:highlight w:val="none"/>
        </w:rPr>
        <w:t>(2)</w:t>
      </w:r>
      <w:r>
        <w:rPr>
          <w:rFonts w:ascii="宋体" w:hAnsi="宋体" w:cs="宋体"/>
          <w:szCs w:val="21"/>
          <w:highlight w:val="none"/>
        </w:rPr>
        <w:tab/>
      </w:r>
      <w:r>
        <w:rPr>
          <w:rFonts w:hint="eastAsia" w:ascii="宋体" w:hAnsi="宋体" w:cs="宋体"/>
          <w:szCs w:val="21"/>
          <w:highlight w:val="none"/>
        </w:rPr>
        <w:t>出现影响采购公正的违法、违规行为的；</w:t>
      </w:r>
    </w:p>
    <w:p>
      <w:pPr>
        <w:spacing w:line="360" w:lineRule="auto"/>
        <w:ind w:firstLine="420" w:firstLineChars="200"/>
        <w:rPr>
          <w:rFonts w:ascii="宋体" w:cs="宋体"/>
          <w:szCs w:val="21"/>
          <w:highlight w:val="none"/>
        </w:rPr>
      </w:pPr>
      <w:r>
        <w:rPr>
          <w:rFonts w:ascii="宋体" w:hAnsi="宋体" w:cs="宋体"/>
          <w:szCs w:val="21"/>
          <w:highlight w:val="none"/>
        </w:rPr>
        <w:t>(3)</w:t>
      </w:r>
      <w:r>
        <w:rPr>
          <w:rFonts w:ascii="宋体" w:hAnsi="宋体" w:cs="宋体"/>
          <w:szCs w:val="21"/>
          <w:highlight w:val="none"/>
        </w:rPr>
        <w:tab/>
      </w:r>
      <w:r>
        <w:rPr>
          <w:rFonts w:hint="eastAsia" w:ascii="宋体" w:hAnsi="宋体" w:cs="宋体"/>
          <w:szCs w:val="21"/>
          <w:highlight w:val="none"/>
        </w:rPr>
        <w:t>供应商的报价均超过了最高磋商限价，采购人不能支付的；</w:t>
      </w:r>
    </w:p>
    <w:p>
      <w:pPr>
        <w:spacing w:line="360" w:lineRule="auto"/>
        <w:ind w:firstLine="420" w:firstLineChars="200"/>
        <w:rPr>
          <w:rFonts w:ascii="宋体" w:hAnsi="宋体" w:cs="宋体"/>
          <w:szCs w:val="21"/>
          <w:highlight w:val="none"/>
        </w:rPr>
      </w:pPr>
      <w:r>
        <w:rPr>
          <w:rFonts w:ascii="宋体" w:hAnsi="宋体" w:cs="宋体"/>
          <w:szCs w:val="21"/>
          <w:highlight w:val="none"/>
        </w:rPr>
        <w:t>(4)</w:t>
      </w:r>
      <w:r>
        <w:rPr>
          <w:rFonts w:ascii="宋体" w:hAnsi="宋体" w:cs="宋体"/>
          <w:szCs w:val="21"/>
          <w:highlight w:val="none"/>
        </w:rPr>
        <w:tab/>
      </w:r>
      <w:r>
        <w:rPr>
          <w:rFonts w:hint="eastAsia" w:ascii="宋体" w:hAnsi="宋体" w:cs="宋体"/>
          <w:szCs w:val="21"/>
          <w:highlight w:val="none"/>
        </w:rPr>
        <w:t>因重大变故，采购任务取消的。</w:t>
      </w:r>
    </w:p>
    <w:p>
      <w:pPr>
        <w:spacing w:line="360" w:lineRule="auto"/>
        <w:ind w:firstLine="422" w:firstLineChars="200"/>
        <w:rPr>
          <w:rFonts w:ascii="宋体" w:cs="宋体"/>
          <w:b/>
          <w:szCs w:val="21"/>
          <w:highlight w:val="none"/>
        </w:rPr>
      </w:pPr>
      <w:r>
        <w:rPr>
          <w:rFonts w:hint="eastAsia" w:ascii="宋体" w:hAnsi="宋体" w:cs="宋体"/>
          <w:b/>
          <w:szCs w:val="21"/>
          <w:highlight w:val="none"/>
        </w:rPr>
        <w:t>29、评标过程的保密性</w:t>
      </w:r>
    </w:p>
    <w:p>
      <w:pPr>
        <w:spacing w:line="360" w:lineRule="auto"/>
        <w:ind w:firstLine="420" w:firstLineChars="200"/>
        <w:rPr>
          <w:rFonts w:ascii="宋体" w:cs="宋体"/>
          <w:szCs w:val="21"/>
          <w:highlight w:val="none"/>
        </w:rPr>
      </w:pPr>
      <w:r>
        <w:rPr>
          <w:rFonts w:hint="eastAsia" w:ascii="宋体" w:hAnsi="宋体" w:cs="宋体"/>
          <w:szCs w:val="21"/>
          <w:highlight w:val="none"/>
        </w:rPr>
        <w:t>29</w:t>
      </w:r>
      <w:r>
        <w:rPr>
          <w:rFonts w:ascii="宋体" w:hAnsi="宋体" w:cs="宋体"/>
          <w:szCs w:val="21"/>
          <w:highlight w:val="none"/>
        </w:rPr>
        <w:t>.1</w:t>
      </w:r>
      <w:r>
        <w:rPr>
          <w:rFonts w:hint="eastAsia" w:ascii="宋体" w:hAnsi="宋体" w:cs="宋体"/>
          <w:szCs w:val="21"/>
          <w:highlight w:val="none"/>
        </w:rPr>
        <w:t>、磋商后，直到授予成交人合同止，凡是与响应文件审查、澄清、评价、比较以及授标建议等评审方面的情况，均不得向供应商或其他无关的人员透露。</w:t>
      </w:r>
    </w:p>
    <w:p>
      <w:pPr>
        <w:spacing w:line="360" w:lineRule="auto"/>
        <w:ind w:firstLine="420" w:firstLineChars="200"/>
        <w:rPr>
          <w:rFonts w:ascii="宋体" w:cs="宋体"/>
          <w:szCs w:val="21"/>
          <w:highlight w:val="none"/>
        </w:rPr>
      </w:pPr>
      <w:r>
        <w:rPr>
          <w:rFonts w:hint="eastAsia" w:ascii="宋体" w:hAnsi="宋体" w:cs="宋体"/>
          <w:szCs w:val="21"/>
          <w:highlight w:val="none"/>
        </w:rPr>
        <w:t>29</w:t>
      </w:r>
      <w:r>
        <w:rPr>
          <w:rFonts w:ascii="宋体" w:hAnsi="宋体" w:cs="宋体"/>
          <w:szCs w:val="21"/>
          <w:highlight w:val="none"/>
        </w:rPr>
        <w:t>.2</w:t>
      </w:r>
      <w:r>
        <w:rPr>
          <w:rFonts w:hint="eastAsia" w:ascii="宋体" w:hAnsi="宋体" w:cs="宋体"/>
          <w:szCs w:val="21"/>
          <w:highlight w:val="none"/>
        </w:rPr>
        <w:t>、在评标过程中，供应商如向磋商小组成员施加任何影响，都将会导致其响应文件被拒绝。</w:t>
      </w:r>
    </w:p>
    <w:p>
      <w:pPr>
        <w:spacing w:line="360" w:lineRule="auto"/>
        <w:ind w:firstLine="420" w:firstLineChars="200"/>
        <w:rPr>
          <w:rFonts w:ascii="宋体" w:cs="宋体"/>
          <w:szCs w:val="21"/>
          <w:highlight w:val="none"/>
        </w:rPr>
      </w:pPr>
      <w:bookmarkStart w:id="79" w:name="_Toc23618"/>
      <w:r>
        <w:rPr>
          <w:rFonts w:hint="eastAsia" w:ascii="宋体" w:hAnsi="宋体" w:cs="宋体"/>
          <w:szCs w:val="21"/>
          <w:highlight w:val="none"/>
        </w:rPr>
        <w:t>29</w:t>
      </w:r>
      <w:r>
        <w:rPr>
          <w:rFonts w:ascii="宋体" w:hAnsi="宋体" w:cs="宋体"/>
          <w:szCs w:val="21"/>
          <w:highlight w:val="none"/>
        </w:rPr>
        <w:t>.3</w:t>
      </w:r>
      <w:r>
        <w:rPr>
          <w:rFonts w:hint="eastAsia" w:ascii="宋体" w:hAnsi="宋体" w:cs="宋体"/>
          <w:szCs w:val="21"/>
          <w:highlight w:val="none"/>
        </w:rPr>
        <w:t>、成交人确定后，采购单位不对未成交人就评标过程及未能成交原因做出任何解释。未成交人不得向磋商小组组成人员或其他有关人员询问评标过程的情况和要求提供材料。</w:t>
      </w:r>
      <w:bookmarkEnd w:id="79"/>
    </w:p>
    <w:p>
      <w:pPr>
        <w:widowControl/>
        <w:spacing w:line="500" w:lineRule="exact"/>
        <w:ind w:firstLine="420" w:firstLineChars="200"/>
        <w:jc w:val="left"/>
        <w:rPr>
          <w:rFonts w:ascii="宋体" w:hAnsi="宋体" w:cs="宋体"/>
          <w:szCs w:val="21"/>
          <w:highlight w:val="none"/>
        </w:rPr>
      </w:pPr>
      <w:bookmarkStart w:id="80" w:name="_Toc13514"/>
      <w:bookmarkStart w:id="81" w:name="_Toc476584427"/>
      <w:r>
        <w:rPr>
          <w:rFonts w:hint="eastAsia" w:ascii="宋体" w:hAnsi="宋体" w:cs="宋体"/>
          <w:highlight w:val="none"/>
        </w:rPr>
        <w:t>2</w:t>
      </w:r>
      <w:r>
        <w:rPr>
          <w:rFonts w:hint="eastAsia" w:ascii="宋体" w:hAnsi="宋体" w:cs="宋体"/>
          <w:szCs w:val="21"/>
          <w:highlight w:val="none"/>
        </w:rPr>
        <w:t>9</w:t>
      </w:r>
      <w:r>
        <w:rPr>
          <w:rFonts w:ascii="宋体" w:hAnsi="宋体" w:cs="宋体"/>
          <w:szCs w:val="21"/>
          <w:highlight w:val="none"/>
        </w:rPr>
        <w:t>.4</w:t>
      </w:r>
      <w:r>
        <w:rPr>
          <w:rFonts w:hint="eastAsia" w:ascii="宋体" w:hAnsi="宋体" w:cs="宋体"/>
          <w:szCs w:val="21"/>
          <w:highlight w:val="none"/>
        </w:rPr>
        <w:t>、服务费</w:t>
      </w:r>
      <w:bookmarkEnd w:id="80"/>
      <w:bookmarkEnd w:id="81"/>
      <w:r>
        <w:rPr>
          <w:rFonts w:hint="eastAsia" w:ascii="宋体" w:hAnsi="宋体" w:cs="宋体"/>
          <w:szCs w:val="21"/>
          <w:highlight w:val="none"/>
        </w:rPr>
        <w:t>：成交人应在收到缴费通知后三日内按磋商文件要求缴纳服务费</w:t>
      </w:r>
      <w:r>
        <w:rPr>
          <w:rFonts w:hint="eastAsia" w:ascii="宋体" w:hAnsi="宋体"/>
          <w:szCs w:val="21"/>
          <w:highlight w:val="none"/>
        </w:rPr>
        <w:t>，完成缴费后请</w:t>
      </w:r>
      <w:r>
        <w:rPr>
          <w:rFonts w:ascii="宋体" w:hAnsi="宋体"/>
          <w:szCs w:val="21"/>
          <w:highlight w:val="none"/>
        </w:rPr>
        <w:t>在</w:t>
      </w:r>
      <w:r>
        <w:rPr>
          <w:rFonts w:hint="eastAsia" w:ascii="宋体" w:hAnsi="宋体"/>
          <w:szCs w:val="21"/>
          <w:highlight w:val="none"/>
        </w:rPr>
        <w:t>7</w:t>
      </w:r>
      <w:r>
        <w:rPr>
          <w:rFonts w:ascii="宋体" w:hAnsi="宋体"/>
          <w:szCs w:val="21"/>
          <w:highlight w:val="none"/>
        </w:rPr>
        <w:t>个工作日内前来开具增值税发票，逾期按普票开具，不再开具专票。</w:t>
      </w:r>
    </w:p>
    <w:p>
      <w:pPr>
        <w:widowControl/>
        <w:spacing w:line="360" w:lineRule="auto"/>
        <w:ind w:firstLine="405"/>
        <w:jc w:val="left"/>
        <w:rPr>
          <w:rFonts w:ascii="宋体" w:hAnsi="宋体" w:cs="宋体"/>
          <w:szCs w:val="21"/>
          <w:highlight w:val="none"/>
        </w:rPr>
      </w:pPr>
      <w:r>
        <w:rPr>
          <w:rFonts w:hint="eastAsia" w:ascii="宋体" w:hAnsi="宋体" w:cs="宋体"/>
          <w:szCs w:val="21"/>
          <w:highlight w:val="none"/>
        </w:rPr>
        <w:t>服务费按差额定率累进法计算。以成交价计算基数，按下表约定的货物标准的80%收取。</w:t>
      </w:r>
    </w:p>
    <w:tbl>
      <w:tblPr>
        <w:tblStyle w:val="60"/>
        <w:tblW w:w="0" w:type="auto"/>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5"/>
        <w:gridCol w:w="1755"/>
        <w:gridCol w:w="1682"/>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835" w:type="dxa"/>
          </w:tcPr>
          <w:p>
            <w:pPr>
              <w:rPr>
                <w:rFonts w:ascii="宋体" w:hAnsi="宋体" w:cs="宋体"/>
                <w:szCs w:val="21"/>
                <w:highlight w:val="none"/>
              </w:rPr>
            </w:pPr>
            <w:r>
              <w:rPr>
                <w:rFonts w:ascii="宋体" w:hAnsi="宋体" w:cs="宋体"/>
                <w:szCs w:val="21"/>
                <w:highlight w:val="none"/>
              </w:rPr>
              <w:pict>
                <v:line id="Line 2" o:spid="_x0000_s2050" o:spt="20" style="position:absolute;left:0pt;margin-left:-5.35pt;margin-top:1.05pt;height:38.85pt;width:143.95pt;z-index:251660288;mso-width-relative:page;mso-height-relative:page;" coordsize="21600,21600">
                  <v:path arrowok="t"/>
                  <v:fill focussize="0,0"/>
                  <v:stroke/>
                  <v:imagedata o:title=""/>
                  <o:lock v:ext="edit"/>
                </v:line>
              </w:pict>
            </w:r>
            <w:r>
              <w:rPr>
                <w:rFonts w:hint="eastAsia" w:ascii="宋体" w:hAnsi="宋体" w:cs="宋体"/>
                <w:szCs w:val="21"/>
                <w:highlight w:val="none"/>
              </w:rPr>
              <w:t xml:space="preserve">          费率</w:t>
            </w:r>
          </w:p>
          <w:p>
            <w:pPr>
              <w:rPr>
                <w:rFonts w:ascii="宋体" w:hAnsi="宋体" w:cs="宋体"/>
                <w:szCs w:val="21"/>
                <w:highlight w:val="none"/>
              </w:rPr>
            </w:pPr>
            <w:r>
              <w:rPr>
                <w:rFonts w:hint="eastAsia" w:ascii="宋体" w:hAnsi="宋体" w:cs="宋体"/>
                <w:szCs w:val="21"/>
                <w:highlight w:val="none"/>
              </w:rPr>
              <w:t>成交价</w:t>
            </w:r>
          </w:p>
        </w:tc>
        <w:tc>
          <w:tcPr>
            <w:tcW w:w="1755" w:type="dxa"/>
            <w:vAlign w:val="center"/>
          </w:tcPr>
          <w:p>
            <w:pPr>
              <w:ind w:firstLine="105" w:firstLineChars="50"/>
              <w:jc w:val="center"/>
              <w:rPr>
                <w:rFonts w:ascii="宋体" w:hAnsi="宋体" w:cs="宋体"/>
                <w:szCs w:val="21"/>
                <w:highlight w:val="none"/>
              </w:rPr>
            </w:pPr>
            <w:r>
              <w:rPr>
                <w:rFonts w:hint="eastAsia" w:ascii="宋体" w:hAnsi="宋体" w:cs="宋体"/>
                <w:szCs w:val="21"/>
                <w:highlight w:val="none"/>
              </w:rPr>
              <w:t>货物招标</w:t>
            </w:r>
          </w:p>
        </w:tc>
        <w:tc>
          <w:tcPr>
            <w:tcW w:w="1682" w:type="dxa"/>
            <w:vAlign w:val="center"/>
          </w:tcPr>
          <w:p>
            <w:pPr>
              <w:jc w:val="center"/>
              <w:rPr>
                <w:rFonts w:ascii="宋体" w:hAnsi="宋体" w:cs="宋体"/>
                <w:szCs w:val="21"/>
                <w:highlight w:val="none"/>
              </w:rPr>
            </w:pPr>
            <w:r>
              <w:rPr>
                <w:rFonts w:hint="eastAsia" w:ascii="宋体" w:hAnsi="宋体" w:cs="宋体"/>
                <w:szCs w:val="21"/>
                <w:highlight w:val="none"/>
              </w:rPr>
              <w:t>服务招标</w:t>
            </w:r>
          </w:p>
        </w:tc>
        <w:tc>
          <w:tcPr>
            <w:tcW w:w="2186" w:type="dxa"/>
            <w:vAlign w:val="center"/>
          </w:tcPr>
          <w:p>
            <w:pPr>
              <w:jc w:val="center"/>
              <w:rPr>
                <w:rFonts w:ascii="宋体" w:hAnsi="宋体" w:cs="宋体"/>
                <w:szCs w:val="21"/>
                <w:highlight w:val="none"/>
              </w:rPr>
            </w:pPr>
            <w:r>
              <w:rPr>
                <w:rFonts w:hint="eastAsia" w:ascii="宋体" w:hAnsi="宋体" w:cs="宋体"/>
                <w:szCs w:val="21"/>
                <w:highlight w:val="none"/>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835" w:type="dxa"/>
          </w:tcPr>
          <w:p>
            <w:pPr>
              <w:rPr>
                <w:rFonts w:ascii="宋体" w:hAnsi="宋体" w:cs="宋体"/>
                <w:szCs w:val="21"/>
                <w:highlight w:val="none"/>
              </w:rPr>
            </w:pPr>
            <w:r>
              <w:rPr>
                <w:rFonts w:hint="eastAsia" w:ascii="宋体" w:hAnsi="宋体" w:cs="宋体"/>
                <w:szCs w:val="21"/>
                <w:highlight w:val="none"/>
              </w:rPr>
              <w:t>100万元以下</w:t>
            </w:r>
          </w:p>
        </w:tc>
        <w:tc>
          <w:tcPr>
            <w:tcW w:w="1755" w:type="dxa"/>
          </w:tcPr>
          <w:p>
            <w:pPr>
              <w:jc w:val="center"/>
              <w:rPr>
                <w:rFonts w:ascii="宋体" w:hAnsi="宋体" w:cs="宋体"/>
                <w:szCs w:val="21"/>
                <w:highlight w:val="none"/>
              </w:rPr>
            </w:pPr>
            <w:r>
              <w:rPr>
                <w:rFonts w:hint="eastAsia" w:ascii="宋体" w:hAnsi="宋体" w:cs="宋体"/>
                <w:kern w:val="0"/>
                <w:szCs w:val="21"/>
                <w:highlight w:val="none"/>
              </w:rPr>
              <w:t>1.5%</w:t>
            </w:r>
          </w:p>
        </w:tc>
        <w:tc>
          <w:tcPr>
            <w:tcW w:w="1682"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1.5%</w:t>
            </w:r>
          </w:p>
        </w:tc>
        <w:tc>
          <w:tcPr>
            <w:tcW w:w="2186"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szCs w:val="21"/>
                <w:highlight w:val="none"/>
              </w:rPr>
            </w:pPr>
            <w:r>
              <w:rPr>
                <w:rFonts w:hint="eastAsia" w:ascii="宋体" w:hAnsi="宋体" w:cs="宋体"/>
                <w:szCs w:val="21"/>
                <w:highlight w:val="none"/>
              </w:rPr>
              <w:t>100～500万元</w:t>
            </w:r>
          </w:p>
        </w:tc>
        <w:tc>
          <w:tcPr>
            <w:tcW w:w="1755"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1.1%</w:t>
            </w:r>
          </w:p>
        </w:tc>
        <w:tc>
          <w:tcPr>
            <w:tcW w:w="1682"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0.8%</w:t>
            </w:r>
          </w:p>
        </w:tc>
        <w:tc>
          <w:tcPr>
            <w:tcW w:w="2186"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szCs w:val="21"/>
                <w:highlight w:val="none"/>
              </w:rPr>
            </w:pPr>
            <w:r>
              <w:rPr>
                <w:rFonts w:hint="eastAsia" w:ascii="宋体" w:hAnsi="宋体" w:cs="宋体"/>
                <w:szCs w:val="21"/>
                <w:highlight w:val="none"/>
              </w:rPr>
              <w:t>500～1000万元</w:t>
            </w:r>
          </w:p>
        </w:tc>
        <w:tc>
          <w:tcPr>
            <w:tcW w:w="1755" w:type="dxa"/>
          </w:tcPr>
          <w:p>
            <w:pPr>
              <w:jc w:val="center"/>
              <w:rPr>
                <w:rFonts w:ascii="宋体" w:hAnsi="宋体" w:cs="宋体"/>
                <w:szCs w:val="21"/>
                <w:highlight w:val="none"/>
              </w:rPr>
            </w:pPr>
            <w:r>
              <w:rPr>
                <w:rFonts w:hint="eastAsia" w:ascii="宋体" w:hAnsi="宋体" w:cs="宋体"/>
                <w:kern w:val="0"/>
                <w:szCs w:val="21"/>
                <w:highlight w:val="none"/>
              </w:rPr>
              <w:t>0.8%</w:t>
            </w:r>
          </w:p>
        </w:tc>
        <w:tc>
          <w:tcPr>
            <w:tcW w:w="1682"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0.45%</w:t>
            </w:r>
          </w:p>
        </w:tc>
        <w:tc>
          <w:tcPr>
            <w:tcW w:w="2186"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szCs w:val="21"/>
                <w:highlight w:val="none"/>
              </w:rPr>
            </w:pPr>
            <w:r>
              <w:rPr>
                <w:rFonts w:hint="eastAsia" w:ascii="宋体" w:hAnsi="宋体" w:cs="宋体"/>
                <w:szCs w:val="21"/>
                <w:highlight w:val="none"/>
              </w:rPr>
              <w:t>1000～5000万元</w:t>
            </w:r>
          </w:p>
        </w:tc>
        <w:tc>
          <w:tcPr>
            <w:tcW w:w="1755"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0.5%</w:t>
            </w:r>
          </w:p>
        </w:tc>
        <w:tc>
          <w:tcPr>
            <w:tcW w:w="1682"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0.25%</w:t>
            </w:r>
          </w:p>
        </w:tc>
        <w:tc>
          <w:tcPr>
            <w:tcW w:w="2186"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szCs w:val="21"/>
                <w:highlight w:val="none"/>
              </w:rPr>
            </w:pPr>
            <w:r>
              <w:rPr>
                <w:rFonts w:hint="eastAsia" w:ascii="宋体" w:hAnsi="宋体" w:cs="宋体"/>
                <w:szCs w:val="21"/>
                <w:highlight w:val="none"/>
              </w:rPr>
              <w:t>5000万元～1亿元</w:t>
            </w:r>
          </w:p>
        </w:tc>
        <w:tc>
          <w:tcPr>
            <w:tcW w:w="1755"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0.25%</w:t>
            </w:r>
          </w:p>
        </w:tc>
        <w:tc>
          <w:tcPr>
            <w:tcW w:w="1682"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0.1%</w:t>
            </w:r>
          </w:p>
        </w:tc>
        <w:tc>
          <w:tcPr>
            <w:tcW w:w="2186" w:type="dxa"/>
          </w:tcPr>
          <w:p>
            <w:pPr>
              <w:ind w:firstLine="210" w:firstLineChars="100"/>
              <w:jc w:val="center"/>
              <w:rPr>
                <w:rFonts w:ascii="宋体" w:hAnsi="宋体" w:cs="宋体"/>
                <w:szCs w:val="21"/>
                <w:highlight w:val="none"/>
              </w:rPr>
            </w:pPr>
            <w:r>
              <w:rPr>
                <w:rFonts w:hint="eastAsia" w:ascii="宋体" w:hAnsi="宋体" w:cs="宋体"/>
                <w:kern w:val="0"/>
                <w:szCs w:val="21"/>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szCs w:val="21"/>
                <w:highlight w:val="none"/>
              </w:rPr>
            </w:pPr>
            <w:r>
              <w:rPr>
                <w:rFonts w:hint="eastAsia" w:ascii="宋体" w:hAnsi="宋体" w:cs="宋体"/>
                <w:szCs w:val="21"/>
                <w:highlight w:val="none"/>
              </w:rPr>
              <w:t>1～5亿元</w:t>
            </w:r>
          </w:p>
        </w:tc>
        <w:tc>
          <w:tcPr>
            <w:tcW w:w="1755" w:type="dxa"/>
          </w:tcPr>
          <w:p>
            <w:pPr>
              <w:ind w:firstLine="210" w:firstLineChars="100"/>
              <w:jc w:val="center"/>
              <w:rPr>
                <w:rFonts w:ascii="宋体" w:hAnsi="宋体" w:cs="宋体"/>
                <w:szCs w:val="21"/>
                <w:highlight w:val="none"/>
              </w:rPr>
            </w:pPr>
            <w:r>
              <w:rPr>
                <w:rFonts w:hint="eastAsia" w:ascii="宋体" w:hAnsi="宋体" w:cs="宋体"/>
                <w:szCs w:val="21"/>
                <w:highlight w:val="none"/>
              </w:rPr>
              <w:t>0.05%</w:t>
            </w:r>
          </w:p>
        </w:tc>
        <w:tc>
          <w:tcPr>
            <w:tcW w:w="1682" w:type="dxa"/>
          </w:tcPr>
          <w:p>
            <w:pPr>
              <w:jc w:val="center"/>
              <w:rPr>
                <w:rFonts w:ascii="宋体" w:hAnsi="宋体" w:cs="宋体"/>
                <w:szCs w:val="21"/>
                <w:highlight w:val="none"/>
              </w:rPr>
            </w:pPr>
            <w:r>
              <w:rPr>
                <w:rFonts w:hint="eastAsia" w:ascii="宋体" w:hAnsi="宋体" w:cs="宋体"/>
                <w:szCs w:val="21"/>
                <w:highlight w:val="none"/>
              </w:rPr>
              <w:t>0.05%</w:t>
            </w:r>
          </w:p>
        </w:tc>
        <w:tc>
          <w:tcPr>
            <w:tcW w:w="2186" w:type="dxa"/>
          </w:tcPr>
          <w:p>
            <w:pPr>
              <w:jc w:val="center"/>
              <w:rPr>
                <w:rFonts w:ascii="宋体" w:hAnsi="宋体" w:cs="宋体"/>
                <w:szCs w:val="21"/>
                <w:highlight w:val="none"/>
              </w:rPr>
            </w:pPr>
            <w:r>
              <w:rPr>
                <w:rFonts w:hint="eastAsia" w:ascii="宋体" w:hAnsi="宋体" w:cs="宋体"/>
                <w:szCs w:val="21"/>
                <w:highlight w:val="none"/>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szCs w:val="21"/>
                <w:highlight w:val="none"/>
              </w:rPr>
            </w:pPr>
            <w:r>
              <w:rPr>
                <w:rFonts w:hint="eastAsia" w:ascii="宋体" w:hAnsi="宋体" w:cs="宋体"/>
                <w:szCs w:val="21"/>
                <w:highlight w:val="none"/>
              </w:rPr>
              <w:t>5～10亿元</w:t>
            </w:r>
          </w:p>
        </w:tc>
        <w:tc>
          <w:tcPr>
            <w:tcW w:w="1755" w:type="dxa"/>
          </w:tcPr>
          <w:p>
            <w:pPr>
              <w:ind w:firstLine="105" w:firstLineChars="50"/>
              <w:jc w:val="center"/>
              <w:rPr>
                <w:rFonts w:ascii="宋体" w:hAnsi="宋体" w:cs="宋体"/>
                <w:szCs w:val="21"/>
                <w:highlight w:val="none"/>
              </w:rPr>
            </w:pPr>
            <w:r>
              <w:rPr>
                <w:rFonts w:hint="eastAsia" w:ascii="宋体" w:hAnsi="宋体" w:cs="宋体"/>
                <w:szCs w:val="21"/>
                <w:highlight w:val="none"/>
              </w:rPr>
              <w:t>0.035%</w:t>
            </w:r>
          </w:p>
        </w:tc>
        <w:tc>
          <w:tcPr>
            <w:tcW w:w="1682" w:type="dxa"/>
          </w:tcPr>
          <w:p>
            <w:pPr>
              <w:jc w:val="center"/>
              <w:rPr>
                <w:rFonts w:ascii="宋体" w:hAnsi="宋体" w:cs="宋体"/>
                <w:szCs w:val="21"/>
                <w:highlight w:val="none"/>
              </w:rPr>
            </w:pPr>
            <w:r>
              <w:rPr>
                <w:rFonts w:hint="eastAsia" w:ascii="宋体" w:hAnsi="宋体" w:cs="宋体"/>
                <w:szCs w:val="21"/>
                <w:highlight w:val="none"/>
              </w:rPr>
              <w:t>0.035%</w:t>
            </w:r>
          </w:p>
        </w:tc>
        <w:tc>
          <w:tcPr>
            <w:tcW w:w="2186" w:type="dxa"/>
          </w:tcPr>
          <w:p>
            <w:pPr>
              <w:ind w:firstLine="105" w:firstLineChars="50"/>
              <w:jc w:val="center"/>
              <w:rPr>
                <w:rFonts w:ascii="宋体" w:hAnsi="宋体" w:cs="宋体"/>
                <w:szCs w:val="21"/>
                <w:highlight w:val="none"/>
              </w:rPr>
            </w:pPr>
            <w:r>
              <w:rPr>
                <w:rFonts w:hint="eastAsia" w:ascii="宋体" w:hAnsi="宋体" w:cs="宋体"/>
                <w:szCs w:val="21"/>
                <w:highlight w:val="none"/>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2835" w:type="dxa"/>
          </w:tcPr>
          <w:p>
            <w:pPr>
              <w:rPr>
                <w:rFonts w:ascii="宋体" w:hAnsi="宋体" w:cs="宋体"/>
                <w:szCs w:val="21"/>
                <w:highlight w:val="none"/>
              </w:rPr>
            </w:pPr>
            <w:r>
              <w:rPr>
                <w:rFonts w:hint="eastAsia" w:ascii="宋体" w:hAnsi="宋体" w:cs="宋体"/>
                <w:szCs w:val="21"/>
                <w:highlight w:val="none"/>
              </w:rPr>
              <w:t>10～50亿元</w:t>
            </w:r>
          </w:p>
        </w:tc>
        <w:tc>
          <w:tcPr>
            <w:tcW w:w="1755" w:type="dxa"/>
          </w:tcPr>
          <w:p>
            <w:pPr>
              <w:ind w:firstLine="105" w:firstLineChars="50"/>
              <w:jc w:val="center"/>
              <w:rPr>
                <w:rFonts w:ascii="宋体" w:hAnsi="宋体" w:cs="宋体"/>
                <w:szCs w:val="21"/>
                <w:highlight w:val="none"/>
              </w:rPr>
            </w:pPr>
            <w:r>
              <w:rPr>
                <w:rFonts w:hint="eastAsia" w:ascii="宋体" w:hAnsi="宋体" w:cs="宋体"/>
                <w:szCs w:val="21"/>
                <w:highlight w:val="none"/>
              </w:rPr>
              <w:t>0.008%</w:t>
            </w:r>
          </w:p>
        </w:tc>
        <w:tc>
          <w:tcPr>
            <w:tcW w:w="1682" w:type="dxa"/>
          </w:tcPr>
          <w:p>
            <w:pPr>
              <w:ind w:firstLine="210" w:firstLineChars="100"/>
              <w:jc w:val="center"/>
              <w:rPr>
                <w:rFonts w:ascii="宋体" w:hAnsi="宋体" w:cs="宋体"/>
                <w:szCs w:val="21"/>
                <w:highlight w:val="none"/>
              </w:rPr>
            </w:pPr>
            <w:r>
              <w:rPr>
                <w:rFonts w:hint="eastAsia" w:ascii="宋体" w:hAnsi="宋体" w:cs="宋体"/>
                <w:szCs w:val="21"/>
                <w:highlight w:val="none"/>
              </w:rPr>
              <w:t>0.008%</w:t>
            </w:r>
          </w:p>
        </w:tc>
        <w:tc>
          <w:tcPr>
            <w:tcW w:w="2186" w:type="dxa"/>
          </w:tcPr>
          <w:p>
            <w:pPr>
              <w:ind w:firstLine="105" w:firstLineChars="50"/>
              <w:jc w:val="center"/>
              <w:rPr>
                <w:rFonts w:ascii="宋体" w:hAnsi="宋体" w:cs="宋体"/>
                <w:szCs w:val="21"/>
                <w:highlight w:val="none"/>
              </w:rPr>
            </w:pPr>
            <w:r>
              <w:rPr>
                <w:rFonts w:hint="eastAsia" w:ascii="宋体" w:hAnsi="宋体" w:cs="宋体"/>
                <w:szCs w:val="21"/>
                <w:highlight w:val="none"/>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35" w:type="dxa"/>
          </w:tcPr>
          <w:p>
            <w:pPr>
              <w:rPr>
                <w:rFonts w:ascii="宋体" w:hAnsi="宋体" w:cs="宋体"/>
                <w:szCs w:val="21"/>
                <w:highlight w:val="none"/>
              </w:rPr>
            </w:pPr>
            <w:r>
              <w:rPr>
                <w:rFonts w:hint="eastAsia" w:ascii="宋体" w:hAnsi="宋体" w:cs="宋体"/>
                <w:szCs w:val="21"/>
                <w:highlight w:val="none"/>
              </w:rPr>
              <w:t>50～100亿元</w:t>
            </w:r>
          </w:p>
        </w:tc>
        <w:tc>
          <w:tcPr>
            <w:tcW w:w="1755" w:type="dxa"/>
          </w:tcPr>
          <w:p>
            <w:pPr>
              <w:jc w:val="center"/>
              <w:rPr>
                <w:rFonts w:ascii="宋体" w:hAnsi="宋体" w:cs="宋体"/>
                <w:szCs w:val="21"/>
                <w:highlight w:val="none"/>
              </w:rPr>
            </w:pPr>
            <w:r>
              <w:rPr>
                <w:rFonts w:hint="eastAsia" w:ascii="宋体" w:hAnsi="宋体" w:cs="宋体"/>
                <w:szCs w:val="21"/>
                <w:highlight w:val="none"/>
              </w:rPr>
              <w:t>0.006%</w:t>
            </w:r>
          </w:p>
        </w:tc>
        <w:tc>
          <w:tcPr>
            <w:tcW w:w="1682" w:type="dxa"/>
          </w:tcPr>
          <w:p>
            <w:pPr>
              <w:ind w:firstLine="210" w:firstLineChars="100"/>
              <w:jc w:val="center"/>
              <w:rPr>
                <w:rFonts w:ascii="宋体" w:hAnsi="宋体" w:cs="宋体"/>
                <w:szCs w:val="21"/>
                <w:highlight w:val="none"/>
              </w:rPr>
            </w:pPr>
            <w:r>
              <w:rPr>
                <w:rFonts w:hint="eastAsia" w:ascii="宋体" w:hAnsi="宋体" w:cs="宋体"/>
                <w:szCs w:val="21"/>
                <w:highlight w:val="none"/>
              </w:rPr>
              <w:t>0.006%</w:t>
            </w:r>
          </w:p>
        </w:tc>
        <w:tc>
          <w:tcPr>
            <w:tcW w:w="2186" w:type="dxa"/>
          </w:tcPr>
          <w:p>
            <w:pPr>
              <w:ind w:firstLine="105" w:firstLineChars="50"/>
              <w:jc w:val="center"/>
              <w:rPr>
                <w:rFonts w:ascii="宋体" w:hAnsi="宋体" w:cs="宋体"/>
                <w:szCs w:val="21"/>
                <w:highlight w:val="none"/>
              </w:rPr>
            </w:pPr>
            <w:r>
              <w:rPr>
                <w:rFonts w:hint="eastAsia" w:ascii="宋体" w:hAnsi="宋体" w:cs="宋体"/>
                <w:szCs w:val="21"/>
                <w:highlight w:val="none"/>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835" w:type="dxa"/>
          </w:tcPr>
          <w:p>
            <w:pPr>
              <w:rPr>
                <w:rFonts w:ascii="宋体" w:hAnsi="宋体" w:cs="宋体"/>
                <w:szCs w:val="21"/>
                <w:highlight w:val="none"/>
              </w:rPr>
            </w:pPr>
            <w:r>
              <w:rPr>
                <w:rFonts w:hint="eastAsia" w:ascii="宋体" w:hAnsi="宋体" w:cs="宋体"/>
                <w:szCs w:val="21"/>
                <w:highlight w:val="none"/>
              </w:rPr>
              <w:t>100亿以上</w:t>
            </w:r>
          </w:p>
        </w:tc>
        <w:tc>
          <w:tcPr>
            <w:tcW w:w="1755" w:type="dxa"/>
          </w:tcPr>
          <w:p>
            <w:pPr>
              <w:jc w:val="center"/>
              <w:rPr>
                <w:rFonts w:ascii="宋体" w:hAnsi="宋体" w:cs="宋体"/>
                <w:szCs w:val="21"/>
                <w:highlight w:val="none"/>
              </w:rPr>
            </w:pPr>
            <w:r>
              <w:rPr>
                <w:rFonts w:hint="eastAsia" w:ascii="宋体" w:hAnsi="宋体" w:cs="宋体"/>
                <w:szCs w:val="21"/>
                <w:highlight w:val="none"/>
              </w:rPr>
              <w:t>0.004%</w:t>
            </w:r>
          </w:p>
        </w:tc>
        <w:tc>
          <w:tcPr>
            <w:tcW w:w="1682" w:type="dxa"/>
          </w:tcPr>
          <w:p>
            <w:pPr>
              <w:ind w:firstLine="210" w:firstLineChars="100"/>
              <w:jc w:val="center"/>
              <w:rPr>
                <w:rFonts w:ascii="宋体" w:hAnsi="宋体" w:cs="宋体"/>
                <w:szCs w:val="21"/>
                <w:highlight w:val="none"/>
              </w:rPr>
            </w:pPr>
            <w:r>
              <w:rPr>
                <w:rFonts w:hint="eastAsia" w:ascii="宋体" w:hAnsi="宋体" w:cs="宋体"/>
                <w:szCs w:val="21"/>
                <w:highlight w:val="none"/>
              </w:rPr>
              <w:t>0.004%</w:t>
            </w:r>
          </w:p>
        </w:tc>
        <w:tc>
          <w:tcPr>
            <w:tcW w:w="2186" w:type="dxa"/>
          </w:tcPr>
          <w:p>
            <w:pPr>
              <w:ind w:firstLine="105" w:firstLineChars="50"/>
              <w:jc w:val="center"/>
              <w:rPr>
                <w:rFonts w:ascii="宋体" w:hAnsi="宋体" w:cs="宋体"/>
                <w:szCs w:val="21"/>
                <w:highlight w:val="none"/>
              </w:rPr>
            </w:pPr>
            <w:r>
              <w:rPr>
                <w:rFonts w:hint="eastAsia" w:ascii="宋体" w:hAnsi="宋体" w:cs="宋体"/>
                <w:szCs w:val="21"/>
                <w:highlight w:val="none"/>
              </w:rPr>
              <w:t>0.004%</w:t>
            </w:r>
          </w:p>
        </w:tc>
      </w:tr>
    </w:tbl>
    <w:p>
      <w:pPr>
        <w:widowControl/>
        <w:spacing w:line="360" w:lineRule="auto"/>
        <w:ind w:firstLine="421"/>
        <w:jc w:val="left"/>
        <w:rPr>
          <w:rFonts w:ascii="宋体" w:hAnsi="宋体" w:cs="宋体"/>
          <w:szCs w:val="21"/>
          <w:highlight w:val="none"/>
        </w:rPr>
      </w:pPr>
      <w:r>
        <w:rPr>
          <w:rFonts w:hint="eastAsia" w:ascii="宋体" w:hAnsi="宋体" w:cs="宋体"/>
          <w:b/>
          <w:highlight w:val="none"/>
        </w:rPr>
        <w:t xml:space="preserve">  </w:t>
      </w:r>
      <w:r>
        <w:rPr>
          <w:rFonts w:hint="eastAsia" w:ascii="宋体" w:hAnsi="宋体" w:cs="宋体"/>
          <w:szCs w:val="21"/>
          <w:highlight w:val="none"/>
        </w:rPr>
        <w:t>注：按上述收费标准计算不足1500元的，按1500元计费。</w:t>
      </w:r>
    </w:p>
    <w:p>
      <w:pPr>
        <w:spacing w:line="360" w:lineRule="auto"/>
        <w:rPr>
          <w:rFonts w:cs="宋体"/>
          <w:highlight w:val="none"/>
        </w:rPr>
      </w:pPr>
      <w:bookmarkStart w:id="82" w:name="_Toc3764"/>
      <w:bookmarkStart w:id="83" w:name="_Toc417655921"/>
      <w:bookmarkStart w:id="84" w:name="_Toc26993"/>
      <w:bookmarkStart w:id="85" w:name="_Toc418517858"/>
      <w:bookmarkStart w:id="86" w:name="_Toc15032"/>
      <w:r>
        <w:rPr>
          <w:rFonts w:cs="宋体"/>
          <w:highlight w:val="none"/>
        </w:rPr>
        <w:t xml:space="preserve">    </w:t>
      </w:r>
      <w:bookmarkStart w:id="87" w:name="_Toc2498"/>
      <w:bookmarkStart w:id="88" w:name="_Toc15512"/>
      <w:bookmarkStart w:id="89" w:name="_Toc6762"/>
      <w:bookmarkStart w:id="90" w:name="_Toc10691"/>
      <w:bookmarkStart w:id="91" w:name="_Toc476584428"/>
      <w:bookmarkStart w:id="92" w:name="_Toc4638"/>
      <w:bookmarkStart w:id="93" w:name="_Toc21769"/>
      <w:r>
        <w:rPr>
          <w:rFonts w:hint="eastAsia" w:cs="宋体"/>
          <w:highlight w:val="none"/>
        </w:rPr>
        <w:t>29</w:t>
      </w:r>
      <w:r>
        <w:rPr>
          <w:rFonts w:cs="宋体"/>
          <w:highlight w:val="none"/>
        </w:rPr>
        <w:t>.5</w:t>
      </w:r>
      <w:r>
        <w:rPr>
          <w:rFonts w:hint="eastAsia" w:cs="宋体"/>
          <w:highlight w:val="none"/>
        </w:rPr>
        <w:t>、成交通知书</w:t>
      </w:r>
      <w:bookmarkEnd w:id="82"/>
      <w:bookmarkEnd w:id="83"/>
      <w:bookmarkEnd w:id="84"/>
      <w:bookmarkEnd w:id="85"/>
      <w:bookmarkEnd w:id="86"/>
      <w:bookmarkEnd w:id="87"/>
      <w:bookmarkEnd w:id="88"/>
      <w:bookmarkEnd w:id="89"/>
      <w:bookmarkEnd w:id="90"/>
      <w:bookmarkEnd w:id="91"/>
      <w:bookmarkEnd w:id="92"/>
      <w:bookmarkEnd w:id="93"/>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hint="eastAsia" w:ascii="宋体" w:hAnsi="宋体" w:eastAsia="宋体" w:cs="Times New Roman"/>
          <w:kern w:val="2"/>
          <w:sz w:val="21"/>
          <w:szCs w:val="21"/>
          <w:highlight w:val="none"/>
        </w:rPr>
        <w:t>采购人在评审报告推荐的成交候选人中按顺序确定成交人。采购人将向成交人发出成交通知书，同时在安庆职业技术学院（https://www.aqvtc.edu.cn/）公告成交结果。供应商如有质疑、投诉，必须在成交公告约定的质疑、投诉期内以书面形式向有关机构提出。</w:t>
      </w:r>
    </w:p>
    <w:p>
      <w:pPr>
        <w:spacing w:line="360" w:lineRule="auto"/>
        <w:ind w:firstLine="420"/>
        <w:jc w:val="left"/>
        <w:rPr>
          <w:rFonts w:ascii="宋体"/>
          <w:szCs w:val="21"/>
          <w:highlight w:val="none"/>
        </w:rPr>
      </w:pPr>
      <w:r>
        <w:rPr>
          <w:rFonts w:hint="eastAsia" w:ascii="宋体" w:hAnsi="宋体"/>
          <w:szCs w:val="21"/>
          <w:highlight w:val="none"/>
        </w:rPr>
        <w:t>29</w:t>
      </w:r>
      <w:r>
        <w:rPr>
          <w:rFonts w:ascii="宋体" w:hAnsi="宋体"/>
          <w:szCs w:val="21"/>
          <w:highlight w:val="none"/>
        </w:rPr>
        <w:t>.6</w:t>
      </w:r>
      <w:r>
        <w:rPr>
          <w:rFonts w:hint="eastAsia" w:ascii="宋体" w:hAnsi="宋体"/>
          <w:szCs w:val="21"/>
          <w:highlight w:val="none"/>
        </w:rPr>
        <w:t>、根据相关规定，对中标或成交结果提出质疑的，为中标或成交结果公告期限届满之日起七个工作日内以书面形式向采购人提出。建议在成交公告质疑期满（无异议）后，采购人与成交人签订采购合同。</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hint="eastAsia" w:ascii="宋体" w:hAnsi="宋体" w:eastAsia="宋体" w:cs="Times New Roman"/>
          <w:kern w:val="2"/>
          <w:sz w:val="21"/>
          <w:szCs w:val="21"/>
          <w:highlight w:val="none"/>
        </w:rPr>
        <w:t>七、合同授予</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bookmarkStart w:id="94" w:name="_Toc21358"/>
      <w:bookmarkStart w:id="95" w:name="_Toc16466"/>
      <w:bookmarkStart w:id="96" w:name="_Toc18179"/>
      <w:bookmarkStart w:id="97" w:name="_Toc24860"/>
      <w:bookmarkStart w:id="98" w:name="_Toc3632"/>
      <w:bookmarkStart w:id="99" w:name="_Toc476584429"/>
      <w:bookmarkStart w:id="100" w:name="_Toc418517860"/>
      <w:bookmarkStart w:id="101" w:name="_Toc3930"/>
      <w:bookmarkStart w:id="102" w:name="_Toc28577"/>
      <w:bookmarkStart w:id="103" w:name="_Toc22183"/>
      <w:bookmarkStart w:id="104" w:name="_Toc417655923"/>
      <w:bookmarkStart w:id="105" w:name="_Toc15562"/>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0、签订合同</w:t>
      </w:r>
      <w:bookmarkEnd w:id="94"/>
      <w:bookmarkEnd w:id="95"/>
      <w:bookmarkEnd w:id="96"/>
      <w:bookmarkEnd w:id="97"/>
      <w:bookmarkEnd w:id="98"/>
      <w:bookmarkEnd w:id="99"/>
      <w:bookmarkEnd w:id="100"/>
      <w:bookmarkEnd w:id="101"/>
      <w:bookmarkEnd w:id="102"/>
      <w:bookmarkEnd w:id="103"/>
      <w:bookmarkEnd w:id="104"/>
      <w:bookmarkEnd w:id="105"/>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0</w:t>
      </w:r>
      <w:r>
        <w:rPr>
          <w:rFonts w:ascii="宋体" w:hAnsi="宋体" w:eastAsia="宋体" w:cs="Times New Roman"/>
          <w:kern w:val="2"/>
          <w:sz w:val="21"/>
          <w:szCs w:val="21"/>
          <w:highlight w:val="none"/>
        </w:rPr>
        <w:t>.</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.1</w:t>
      </w:r>
      <w:r>
        <w:rPr>
          <w:rFonts w:hint="eastAsia" w:ascii="宋体" w:hAnsi="宋体" w:eastAsia="宋体" w:cs="Times New Roman"/>
          <w:kern w:val="2"/>
          <w:sz w:val="21"/>
          <w:szCs w:val="21"/>
          <w:highlight w:val="none"/>
        </w:rPr>
        <w:t>、成交人的成交价即为合同价款。</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0</w:t>
      </w:r>
      <w:r>
        <w:rPr>
          <w:rFonts w:ascii="宋体" w:hAnsi="宋体" w:eastAsia="宋体" w:cs="Times New Roman"/>
          <w:kern w:val="2"/>
          <w:sz w:val="21"/>
          <w:szCs w:val="21"/>
          <w:highlight w:val="none"/>
        </w:rPr>
        <w:t>.</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.2</w:t>
      </w:r>
      <w:r>
        <w:rPr>
          <w:rFonts w:hint="eastAsia" w:ascii="宋体" w:hAnsi="宋体" w:eastAsia="宋体" w:cs="Times New Roman"/>
          <w:kern w:val="2"/>
          <w:sz w:val="21"/>
          <w:szCs w:val="21"/>
          <w:highlight w:val="none"/>
        </w:rPr>
        <w:t>、成交人在收到成交通知书起10个工作日内，与采购人签订合同。</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0</w:t>
      </w:r>
      <w:r>
        <w:rPr>
          <w:rFonts w:ascii="宋体" w:hAnsi="宋体" w:eastAsia="宋体" w:cs="Times New Roman"/>
          <w:kern w:val="2"/>
          <w:sz w:val="21"/>
          <w:szCs w:val="21"/>
          <w:highlight w:val="none"/>
        </w:rPr>
        <w:t>.</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、成交人拒绝与采购人签订合同的，采购人可以按照评审报告推荐的成交候选人名单排序，确定下一候选人为成交人，也可以重新开展政府采购活动。</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1、履约保证金</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.1</w:t>
      </w:r>
      <w:r>
        <w:rPr>
          <w:rFonts w:hint="eastAsia" w:ascii="宋体" w:hAnsi="宋体" w:eastAsia="宋体" w:cs="Times New Roman"/>
          <w:kern w:val="2"/>
          <w:sz w:val="21"/>
          <w:szCs w:val="21"/>
          <w:highlight w:val="none"/>
        </w:rPr>
        <w:t>、成交人在签订合同前必须按磋商文件的约定，及时、足额向采购人提交履约保证金。</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.2</w:t>
      </w:r>
      <w:r>
        <w:rPr>
          <w:rFonts w:hint="eastAsia" w:ascii="宋体" w:hAnsi="宋体" w:eastAsia="宋体" w:cs="Times New Roman"/>
          <w:kern w:val="2"/>
          <w:sz w:val="21"/>
          <w:szCs w:val="21"/>
          <w:highlight w:val="none"/>
        </w:rPr>
        <w:t>、若成交人不能按须知前附表执行，采购人可在无须征得成交人同意的情况下，不与其签订合同。给采购单位造成的损失，成交人还应当予以赔偿。</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1</w:t>
      </w: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、履约保证金按合同条款约定退还。</w:t>
      </w:r>
    </w:p>
    <w:p>
      <w:pPr>
        <w:pStyle w:val="54"/>
        <w:widowControl w:val="0"/>
        <w:spacing w:before="0" w:beforeAutospacing="0" w:after="0" w:afterAutospacing="0" w:line="360" w:lineRule="auto"/>
        <w:ind w:firstLine="420" w:firstLineChars="200"/>
        <w:rPr>
          <w:rFonts w:ascii="宋体" w:hAnsi="宋体" w:eastAsia="宋体" w:cs="Times New Roman"/>
          <w:kern w:val="2"/>
          <w:sz w:val="21"/>
          <w:szCs w:val="21"/>
          <w:highlight w:val="none"/>
        </w:rPr>
      </w:pPr>
      <w:r>
        <w:rPr>
          <w:rFonts w:ascii="宋体" w:hAnsi="宋体" w:eastAsia="宋体" w:cs="Times New Roman"/>
          <w:kern w:val="2"/>
          <w:sz w:val="21"/>
          <w:szCs w:val="21"/>
          <w:highlight w:val="none"/>
        </w:rPr>
        <w:t>3</w:t>
      </w:r>
      <w:r>
        <w:rPr>
          <w:rFonts w:hint="eastAsia" w:ascii="宋体" w:hAnsi="宋体" w:eastAsia="宋体" w:cs="Times New Roman"/>
          <w:kern w:val="2"/>
          <w:sz w:val="21"/>
          <w:szCs w:val="21"/>
          <w:highlight w:val="none"/>
        </w:rPr>
        <w:t>2、未尽事宜</w:t>
      </w:r>
    </w:p>
    <w:p>
      <w:pPr>
        <w:pStyle w:val="54"/>
        <w:widowControl w:val="0"/>
        <w:spacing w:before="0" w:beforeAutospacing="0" w:after="0" w:afterAutospacing="0" w:line="360" w:lineRule="auto"/>
        <w:ind w:firstLine="420" w:firstLineChars="200"/>
        <w:rPr>
          <w:rFonts w:ascii="宋体" w:cs="宋体"/>
          <w:b/>
          <w:bCs/>
          <w:snapToGrid w:val="0"/>
          <w:sz w:val="32"/>
          <w:szCs w:val="32"/>
          <w:highlight w:val="none"/>
        </w:rPr>
      </w:pPr>
      <w:r>
        <w:rPr>
          <w:rFonts w:hint="eastAsia" w:ascii="宋体" w:hAnsi="宋体" w:eastAsia="宋体" w:cs="Times New Roman"/>
          <w:kern w:val="2"/>
          <w:sz w:val="21"/>
          <w:szCs w:val="21"/>
          <w:highlight w:val="none"/>
        </w:rPr>
        <w:t>依据《政府采购竞争性磋商采购方式管理暂行办法》并参照《中华人民共和国政府采购法》、《中华人民共和国政府采购法实施条例》及其他有关法律法规规定执行。</w:t>
      </w:r>
    </w:p>
    <w:p>
      <w:pPr>
        <w:pStyle w:val="2"/>
        <w:pageBreakBefore/>
        <w:spacing w:before="62" w:beforeLines="20" w:after="62" w:afterLines="20" w:line="480" w:lineRule="exact"/>
        <w:ind w:firstLine="0" w:firstLineChars="0"/>
        <w:jc w:val="center"/>
        <w:rPr>
          <w:rFonts w:ascii="Arial" w:hAnsi="Arial"/>
          <w:kern w:val="2"/>
          <w:sz w:val="32"/>
          <w:szCs w:val="32"/>
          <w:highlight w:val="none"/>
          <w:lang w:val="zh-CN"/>
        </w:rPr>
      </w:pPr>
      <w:bookmarkStart w:id="106" w:name="_Toc16555"/>
      <w:r>
        <w:rPr>
          <w:rFonts w:hint="eastAsia" w:ascii="Arial" w:hAnsi="Arial"/>
          <w:kern w:val="2"/>
          <w:sz w:val="32"/>
          <w:szCs w:val="32"/>
          <w:highlight w:val="none"/>
        </w:rPr>
        <w:t>第三章</w:t>
      </w:r>
      <w:r>
        <w:rPr>
          <w:rFonts w:ascii="Arial" w:hAnsi="Arial"/>
          <w:kern w:val="2"/>
          <w:sz w:val="32"/>
          <w:szCs w:val="32"/>
          <w:highlight w:val="none"/>
        </w:rPr>
        <w:t xml:space="preserve">  </w:t>
      </w:r>
      <w:bookmarkStart w:id="107" w:name="_Toc439316879"/>
      <w:r>
        <w:rPr>
          <w:rFonts w:ascii="Arial" w:hAnsi="Arial"/>
          <w:kern w:val="2"/>
          <w:sz w:val="32"/>
          <w:szCs w:val="32"/>
          <w:highlight w:val="none"/>
          <w:lang w:val="zh-CN"/>
        </w:rPr>
        <w:t xml:space="preserve">  </w:t>
      </w:r>
      <w:bookmarkEnd w:id="107"/>
      <w:r>
        <w:rPr>
          <w:rFonts w:hint="eastAsia" w:ascii="Arial" w:hAnsi="Arial"/>
          <w:kern w:val="2"/>
          <w:sz w:val="32"/>
          <w:szCs w:val="32"/>
          <w:highlight w:val="none"/>
          <w:lang w:val="zh-CN"/>
        </w:rPr>
        <w:t>服务需求及技术要求</w:t>
      </w:r>
      <w:bookmarkEnd w:id="106"/>
    </w:p>
    <w:p>
      <w:pPr>
        <w:rPr>
          <w:b/>
          <w:bCs/>
          <w:sz w:val="28"/>
          <w:szCs w:val="24"/>
          <w:highlight w:val="none"/>
        </w:rPr>
      </w:pPr>
      <w:bookmarkStart w:id="108" w:name="_Toc53217151"/>
      <w:r>
        <w:rPr>
          <w:rFonts w:hint="eastAsia"/>
          <w:b/>
          <w:bCs/>
          <w:sz w:val="28"/>
          <w:szCs w:val="24"/>
          <w:highlight w:val="none"/>
        </w:rPr>
        <w:t>一、项目概况</w:t>
      </w:r>
      <w:bookmarkEnd w:id="108"/>
    </w:p>
    <w:p>
      <w:pPr>
        <w:spacing w:line="360" w:lineRule="auto"/>
        <w:ind w:firstLine="480" w:firstLineChars="200"/>
        <w:rPr>
          <w:rFonts w:ascii="宋体" w:hAnsi="宋体" w:cs="Arial"/>
          <w:kern w:val="0"/>
          <w:sz w:val="24"/>
          <w:highlight w:val="none"/>
        </w:rPr>
      </w:pPr>
      <w:r>
        <w:rPr>
          <w:rFonts w:hint="eastAsia" w:ascii="宋体" w:hAnsi="宋体" w:cs="Arial"/>
          <w:kern w:val="0"/>
          <w:sz w:val="24"/>
          <w:highlight w:val="none"/>
        </w:rPr>
        <w:t>依据《中华人民共和国网络安全法》《信息安全等级保护管理办法》的相关要求，对安庆职业技术学院重要信息系统进行网络安全等级保护测评，包括：安全技术测评，安全管理测评，工具测试，编制系统安全整改方案，编制和完善安全管理制度等。</w:t>
      </w:r>
    </w:p>
    <w:p>
      <w:pPr>
        <w:rPr>
          <w:b/>
          <w:bCs/>
          <w:sz w:val="28"/>
          <w:szCs w:val="24"/>
          <w:highlight w:val="none"/>
        </w:rPr>
      </w:pPr>
      <w:bookmarkStart w:id="109" w:name="_Toc53217152"/>
      <w:r>
        <w:rPr>
          <w:rFonts w:hint="eastAsia"/>
          <w:b/>
          <w:bCs/>
          <w:sz w:val="28"/>
          <w:szCs w:val="24"/>
          <w:highlight w:val="none"/>
        </w:rPr>
        <w:t>二、项目实施范围</w:t>
      </w:r>
      <w:bookmarkEnd w:id="109"/>
    </w:p>
    <w:p>
      <w:pPr>
        <w:spacing w:after="156" w:afterLines="50" w:line="360" w:lineRule="auto"/>
        <w:rPr>
          <w:rFonts w:ascii="宋体" w:hAnsi="宋体" w:cs="Arial"/>
          <w:kern w:val="0"/>
          <w:sz w:val="24"/>
          <w:highlight w:val="none"/>
        </w:rPr>
      </w:pPr>
      <w:r>
        <w:rPr>
          <w:rFonts w:hint="eastAsia" w:ascii="宋体" w:hAnsi="宋体" w:cs="Arial"/>
          <w:kern w:val="0"/>
          <w:sz w:val="24"/>
          <w:highlight w:val="none"/>
        </w:rPr>
        <w:t>本次参于网络安全等级保护测评的系统如下：</w:t>
      </w:r>
    </w:p>
    <w:tbl>
      <w:tblPr>
        <w:tblStyle w:val="60"/>
        <w:tblW w:w="8060" w:type="dxa"/>
        <w:tblInd w:w="8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3452"/>
        <w:gridCol w:w="244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000000" w:fill="F2F2F2"/>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序号</w:t>
            </w:r>
          </w:p>
        </w:tc>
        <w:tc>
          <w:tcPr>
            <w:tcW w:w="3452" w:type="dxa"/>
            <w:shd w:val="clear" w:color="000000" w:fill="F2F2F2"/>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待测系统名称</w:t>
            </w:r>
          </w:p>
        </w:tc>
        <w:tc>
          <w:tcPr>
            <w:tcW w:w="2448" w:type="dxa"/>
            <w:shd w:val="clear" w:color="000000" w:fill="F2F2F2"/>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安全保护等级</w:t>
            </w:r>
          </w:p>
        </w:tc>
        <w:tc>
          <w:tcPr>
            <w:tcW w:w="1080" w:type="dxa"/>
            <w:shd w:val="clear" w:color="000000" w:fill="F2F2F2"/>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1</w:t>
            </w:r>
          </w:p>
        </w:tc>
        <w:tc>
          <w:tcPr>
            <w:tcW w:w="3452"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网站群信息系统</w:t>
            </w:r>
          </w:p>
        </w:tc>
        <w:tc>
          <w:tcPr>
            <w:tcW w:w="2448"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二级</w:t>
            </w:r>
          </w:p>
        </w:tc>
        <w:tc>
          <w:tcPr>
            <w:tcW w:w="1080" w:type="dxa"/>
            <w:shd w:val="clear" w:color="auto" w:fill="auto"/>
          </w:tcPr>
          <w:p>
            <w:pPr>
              <w:widowControl/>
              <w:spacing w:line="360" w:lineRule="auto"/>
              <w:contextualSpacing/>
              <w:rPr>
                <w:rFonts w:ascii="宋体" w:hAnsi="宋体" w:cs="宋体"/>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2</w:t>
            </w:r>
          </w:p>
        </w:tc>
        <w:tc>
          <w:tcPr>
            <w:tcW w:w="3452"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邮件系统</w:t>
            </w:r>
          </w:p>
        </w:tc>
        <w:tc>
          <w:tcPr>
            <w:tcW w:w="2448"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二级</w:t>
            </w:r>
          </w:p>
        </w:tc>
        <w:tc>
          <w:tcPr>
            <w:tcW w:w="1080" w:type="dxa"/>
            <w:shd w:val="clear" w:color="auto" w:fill="auto"/>
          </w:tcPr>
          <w:p>
            <w:pPr>
              <w:widowControl/>
              <w:spacing w:line="360" w:lineRule="auto"/>
              <w:contextualSpacing/>
              <w:rPr>
                <w:rFonts w:ascii="宋体" w:hAnsi="宋体" w:cs="宋体"/>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3</w:t>
            </w:r>
          </w:p>
        </w:tc>
        <w:tc>
          <w:tcPr>
            <w:tcW w:w="3452"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数字校园系统</w:t>
            </w:r>
          </w:p>
        </w:tc>
        <w:tc>
          <w:tcPr>
            <w:tcW w:w="2448"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二级</w:t>
            </w:r>
          </w:p>
        </w:tc>
        <w:tc>
          <w:tcPr>
            <w:tcW w:w="1080" w:type="dxa"/>
            <w:shd w:val="clear" w:color="auto" w:fill="auto"/>
          </w:tcPr>
          <w:p>
            <w:pPr>
              <w:widowControl/>
              <w:spacing w:line="360" w:lineRule="auto"/>
              <w:contextualSpacing/>
              <w:rPr>
                <w:rFonts w:ascii="宋体" w:hAnsi="宋体" w:cs="宋体"/>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4</w:t>
            </w:r>
          </w:p>
        </w:tc>
        <w:tc>
          <w:tcPr>
            <w:tcW w:w="3452"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图书管理系统</w:t>
            </w:r>
          </w:p>
        </w:tc>
        <w:tc>
          <w:tcPr>
            <w:tcW w:w="2448"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二级</w:t>
            </w:r>
          </w:p>
        </w:tc>
        <w:tc>
          <w:tcPr>
            <w:tcW w:w="1080" w:type="dxa"/>
            <w:shd w:val="clear" w:color="auto" w:fill="auto"/>
          </w:tcPr>
          <w:p>
            <w:pPr>
              <w:widowControl/>
              <w:spacing w:line="360" w:lineRule="auto"/>
              <w:contextualSpacing/>
              <w:rPr>
                <w:rFonts w:ascii="宋体" w:hAnsi="宋体" w:cs="宋体"/>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0"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5</w:t>
            </w:r>
          </w:p>
        </w:tc>
        <w:tc>
          <w:tcPr>
            <w:tcW w:w="3452"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财务系统</w:t>
            </w:r>
          </w:p>
        </w:tc>
        <w:tc>
          <w:tcPr>
            <w:tcW w:w="2448" w:type="dxa"/>
            <w:shd w:val="clear" w:color="auto" w:fill="auto"/>
          </w:tcPr>
          <w:p>
            <w:pPr>
              <w:widowControl/>
              <w:spacing w:line="360" w:lineRule="auto"/>
              <w:contextualSpacing/>
              <w:jc w:val="center"/>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二级</w:t>
            </w:r>
          </w:p>
        </w:tc>
        <w:tc>
          <w:tcPr>
            <w:tcW w:w="1080" w:type="dxa"/>
            <w:shd w:val="clear" w:color="auto" w:fill="auto"/>
          </w:tcPr>
          <w:p>
            <w:pPr>
              <w:widowControl/>
              <w:spacing w:line="360" w:lineRule="auto"/>
              <w:contextualSpacing/>
              <w:rPr>
                <w:rFonts w:ascii="宋体" w:hAnsi="宋体" w:cs="宋体"/>
                <w:color w:val="000000"/>
                <w:kern w:val="0"/>
                <w:sz w:val="24"/>
                <w:szCs w:val="24"/>
                <w:highlight w:val="none"/>
              </w:rPr>
            </w:pPr>
          </w:p>
        </w:tc>
      </w:tr>
    </w:tbl>
    <w:p>
      <w:pPr>
        <w:rPr>
          <w:b/>
          <w:bCs/>
          <w:sz w:val="28"/>
          <w:szCs w:val="24"/>
          <w:highlight w:val="none"/>
        </w:rPr>
      </w:pPr>
      <w:bookmarkStart w:id="110" w:name="_Toc53217153"/>
      <w:r>
        <w:rPr>
          <w:rFonts w:hint="eastAsia"/>
          <w:b/>
          <w:bCs/>
          <w:sz w:val="28"/>
          <w:szCs w:val="24"/>
          <w:highlight w:val="none"/>
        </w:rPr>
        <w:t>三、指导思想和基本准则</w:t>
      </w:r>
      <w:bookmarkEnd w:id="110"/>
    </w:p>
    <w:p>
      <w:pPr>
        <w:autoSpaceDE w:val="0"/>
        <w:autoSpaceDN w:val="0"/>
        <w:adjustRightInd w:val="0"/>
        <w:spacing w:line="360" w:lineRule="auto"/>
        <w:ind w:firstLine="480" w:firstLineChars="200"/>
        <w:rPr>
          <w:rFonts w:ascii="宋体" w:hAnsi="宋体" w:cs="Arial"/>
          <w:sz w:val="24"/>
          <w:szCs w:val="24"/>
          <w:highlight w:val="none"/>
        </w:rPr>
      </w:pPr>
      <w:r>
        <w:rPr>
          <w:rFonts w:hint="eastAsia" w:ascii="宋体" w:hAnsi="宋体" w:cs="Arial"/>
          <w:sz w:val="24"/>
          <w:szCs w:val="24"/>
          <w:highlight w:val="none"/>
        </w:rPr>
        <w:t>根据公安部、国家保密局、国家密码管理局、国信办联合印发的《信息系统安全等级保护管理办法》（公通字〔2007〕43号）、《关于信息系统安全等级保护工作的实施意见》（公通字〔2004〕66号）、《关于开展全国重要信息系统安全等级保护定级工作的通知》（公信安〔2007〕861 号）、公安部《关于开展信息安全等级保护安全建设整改工作的指导意见》（公信安[2009]1429号）、国家发改委《关于加强国家电子政务工程建设项目信息安全风险评估工作的通知》（发改高技[2008]2071号），以及安徽省发改委《关于加强国家电子政务工程建设项目信息安全风险评估工作的通知》（发改高技[2008]967号）等文件精神，结合</w:t>
      </w:r>
      <w:r>
        <w:rPr>
          <w:rFonts w:ascii="宋体" w:hAnsi="宋体" w:cs="Arial"/>
          <w:sz w:val="24"/>
          <w:szCs w:val="24"/>
          <w:highlight w:val="none"/>
        </w:rPr>
        <w:t>安庆职业技术学院</w:t>
      </w:r>
      <w:r>
        <w:rPr>
          <w:rFonts w:hint="eastAsia" w:ascii="宋体" w:hAnsi="宋体" w:cs="Arial"/>
          <w:sz w:val="24"/>
          <w:szCs w:val="24"/>
          <w:highlight w:val="none"/>
        </w:rPr>
        <w:t>工作实际，现拟对</w:t>
      </w:r>
      <w:r>
        <w:rPr>
          <w:rFonts w:ascii="宋体" w:hAnsi="宋体" w:cs="Arial"/>
          <w:sz w:val="24"/>
          <w:szCs w:val="24"/>
          <w:highlight w:val="none"/>
        </w:rPr>
        <w:t>安庆职业技术学院</w:t>
      </w:r>
      <w:r>
        <w:rPr>
          <w:rFonts w:hint="eastAsia" w:ascii="宋体" w:hAnsi="宋体" w:cs="Arial"/>
          <w:sz w:val="24"/>
          <w:szCs w:val="24"/>
          <w:highlight w:val="none"/>
        </w:rPr>
        <w:t>重要信息系统实施网络安全等级保护测评，以进一步完善信息系统安全管理体系和技术防护体系，切实提高系统信息安全防护能力。</w:t>
      </w:r>
      <w:r>
        <w:rPr>
          <w:rFonts w:ascii="宋体" w:hAnsi="宋体" w:cs="Arial"/>
          <w:sz w:val="24"/>
          <w:szCs w:val="24"/>
          <w:highlight w:val="none"/>
        </w:rPr>
        <w:t xml:space="preserve"> </w:t>
      </w:r>
    </w:p>
    <w:p>
      <w:pPr>
        <w:rPr>
          <w:b/>
          <w:bCs/>
          <w:sz w:val="28"/>
          <w:szCs w:val="24"/>
          <w:highlight w:val="none"/>
        </w:rPr>
      </w:pPr>
      <w:bookmarkStart w:id="111" w:name="_Toc53217154"/>
      <w:r>
        <w:rPr>
          <w:rFonts w:hint="eastAsia"/>
          <w:b/>
          <w:bCs/>
          <w:sz w:val="28"/>
          <w:szCs w:val="24"/>
          <w:highlight w:val="none"/>
        </w:rPr>
        <w:t>四、等级保护测评主要包括以下几个方面：</w:t>
      </w:r>
      <w:bookmarkEnd w:id="111"/>
    </w:p>
    <w:p>
      <w:pPr>
        <w:numPr>
          <w:ilvl w:val="0"/>
          <w:numId w:val="9"/>
        </w:numPr>
        <w:spacing w:before="240" w:after="120" w:line="360" w:lineRule="auto"/>
        <w:ind w:left="0" w:firstLine="482" w:firstLineChars="200"/>
        <w:rPr>
          <w:rFonts w:ascii="宋体" w:hAnsi="宋体"/>
          <w:b/>
          <w:sz w:val="24"/>
          <w:szCs w:val="24"/>
          <w:highlight w:val="none"/>
        </w:rPr>
      </w:pPr>
      <w:bookmarkStart w:id="112" w:name="_Toc46177951"/>
      <w:bookmarkStart w:id="113" w:name="_Hlk35596349"/>
      <w:r>
        <w:rPr>
          <w:rFonts w:hint="eastAsia" w:ascii="宋体" w:hAnsi="宋体"/>
          <w:b/>
          <w:sz w:val="24"/>
          <w:szCs w:val="24"/>
          <w:highlight w:val="none"/>
        </w:rPr>
        <w:t>等保测评：</w:t>
      </w:r>
      <w:r>
        <w:rPr>
          <w:rFonts w:hint="eastAsia" w:ascii="宋体" w:hAnsi="宋体"/>
          <w:bCs/>
          <w:sz w:val="24"/>
          <w:szCs w:val="24"/>
          <w:highlight w:val="none"/>
        </w:rPr>
        <w:t>完成包括安全物理环境、安全计算环境、安全区域边界、安全通信网络、安全管理中心和安全管理机构、安全管理制度、安全管理人员、安全建设管理和安全运维管理方面的测评工作；</w:t>
      </w:r>
      <w:bookmarkEnd w:id="112"/>
    </w:p>
    <w:p>
      <w:pPr>
        <w:numPr>
          <w:ilvl w:val="0"/>
          <w:numId w:val="9"/>
        </w:numPr>
        <w:spacing w:before="240" w:after="120" w:line="360" w:lineRule="auto"/>
        <w:ind w:left="0" w:firstLine="482" w:firstLineChars="200"/>
        <w:rPr>
          <w:rFonts w:ascii="宋体" w:hAnsi="宋体"/>
          <w:b/>
          <w:sz w:val="24"/>
          <w:szCs w:val="24"/>
          <w:highlight w:val="none"/>
        </w:rPr>
      </w:pPr>
      <w:bookmarkStart w:id="114" w:name="_Toc46177952"/>
      <w:r>
        <w:rPr>
          <w:rFonts w:hint="eastAsia" w:ascii="宋体" w:hAnsi="宋体"/>
          <w:b/>
          <w:sz w:val="24"/>
          <w:szCs w:val="24"/>
          <w:highlight w:val="none"/>
        </w:rPr>
        <w:t>工具测试：</w:t>
      </w:r>
      <w:r>
        <w:rPr>
          <w:rFonts w:hint="eastAsia" w:ascii="宋体" w:hAnsi="宋体"/>
          <w:bCs/>
          <w:sz w:val="24"/>
          <w:szCs w:val="24"/>
          <w:highlight w:val="none"/>
        </w:rPr>
        <w:t>针对重要信息系统进行定期的漏洞扫描、渗透测试等安全服务工作；</w:t>
      </w:r>
      <w:bookmarkEnd w:id="114"/>
    </w:p>
    <w:p>
      <w:pPr>
        <w:numPr>
          <w:ilvl w:val="0"/>
          <w:numId w:val="9"/>
        </w:numPr>
        <w:spacing w:before="240" w:after="120" w:line="360" w:lineRule="auto"/>
        <w:ind w:left="0" w:firstLine="482" w:firstLineChars="200"/>
        <w:rPr>
          <w:rFonts w:ascii="宋体" w:hAnsi="宋体"/>
          <w:b/>
          <w:sz w:val="24"/>
          <w:szCs w:val="24"/>
          <w:highlight w:val="none"/>
        </w:rPr>
      </w:pPr>
      <w:bookmarkStart w:id="115" w:name="_Toc46177953"/>
      <w:r>
        <w:rPr>
          <w:rFonts w:hint="eastAsia" w:ascii="宋体" w:hAnsi="宋体"/>
          <w:b/>
          <w:sz w:val="24"/>
          <w:szCs w:val="24"/>
          <w:highlight w:val="none"/>
        </w:rPr>
        <w:t>整改建议：</w:t>
      </w:r>
      <w:r>
        <w:rPr>
          <w:rFonts w:hint="eastAsia" w:ascii="宋体" w:hAnsi="宋体"/>
          <w:bCs/>
          <w:sz w:val="24"/>
          <w:szCs w:val="24"/>
          <w:highlight w:val="none"/>
        </w:rPr>
        <w:t>投标人应根据现场测评中发现的问题，分析与GB/T 22239-2019、ISO/IEC 27001、ISO/IEC 20000、ISO 22301、ITIL和ITSS等行业最佳实践之间的差距，按照网络安全等级保护标准要求提出安全整改建议；</w:t>
      </w:r>
      <w:bookmarkEnd w:id="115"/>
    </w:p>
    <w:p>
      <w:pPr>
        <w:numPr>
          <w:ilvl w:val="0"/>
          <w:numId w:val="9"/>
        </w:numPr>
        <w:spacing w:before="240" w:after="120" w:line="360" w:lineRule="auto"/>
        <w:ind w:left="0" w:firstLine="482" w:firstLineChars="200"/>
        <w:rPr>
          <w:rFonts w:ascii="宋体" w:hAnsi="宋体"/>
          <w:b/>
          <w:sz w:val="24"/>
          <w:szCs w:val="24"/>
          <w:highlight w:val="none"/>
        </w:rPr>
      </w:pPr>
      <w:bookmarkStart w:id="116" w:name="_Toc46177954"/>
      <w:r>
        <w:rPr>
          <w:rFonts w:hint="eastAsia" w:ascii="宋体" w:hAnsi="宋体"/>
          <w:b/>
          <w:sz w:val="24"/>
          <w:szCs w:val="24"/>
          <w:highlight w:val="none"/>
        </w:rPr>
        <w:t>编制测评报告：</w:t>
      </w:r>
      <w:r>
        <w:rPr>
          <w:rFonts w:hint="eastAsia" w:ascii="宋体" w:hAnsi="宋体"/>
          <w:bCs/>
          <w:sz w:val="24"/>
          <w:szCs w:val="24"/>
          <w:highlight w:val="none"/>
        </w:rPr>
        <w:t>完成上述测评工作和整改加固实施后，投标人最后出具符合标准要求的各信息系统网络安全等级保护测评报告。</w:t>
      </w:r>
      <w:bookmarkEnd w:id="113"/>
      <w:bookmarkEnd w:id="116"/>
    </w:p>
    <w:p>
      <w:pPr>
        <w:rPr>
          <w:b/>
          <w:bCs/>
          <w:sz w:val="28"/>
          <w:szCs w:val="24"/>
          <w:highlight w:val="none"/>
        </w:rPr>
      </w:pPr>
      <w:bookmarkStart w:id="117" w:name="_Toc53217155"/>
      <w:r>
        <w:rPr>
          <w:rFonts w:hint="eastAsia"/>
          <w:b/>
          <w:bCs/>
          <w:sz w:val="28"/>
          <w:szCs w:val="24"/>
          <w:highlight w:val="none"/>
        </w:rPr>
        <w:t>五、信息安全培训：</w:t>
      </w:r>
      <w:bookmarkEnd w:id="117"/>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信息安全培训：为提高信息化人才队伍的安全意识和专业技能，响应人需对采购人提供信息安全培训，培训内容分为公共培训和专业培训。</w:t>
      </w:r>
    </w:p>
    <w:p>
      <w:pPr>
        <w:spacing w:line="360" w:lineRule="auto"/>
        <w:ind w:firstLine="480" w:firstLineChars="200"/>
        <w:rPr>
          <w:rFonts w:ascii="宋体" w:hAnsi="宋体" w:cs="Arial"/>
          <w:sz w:val="24"/>
          <w:szCs w:val="24"/>
          <w:highlight w:val="none"/>
        </w:rPr>
      </w:pPr>
      <w:r>
        <w:rPr>
          <w:rFonts w:hint="eastAsia" w:ascii="宋体" w:hAnsi="宋体" w:cs="Arial"/>
          <w:sz w:val="24"/>
          <w:szCs w:val="24"/>
          <w:highlight w:val="none"/>
        </w:rPr>
        <w:t>信息安全技术培训由具备培训资格的讲师参考注册信息安全专业人员（CISP）、信息安全保障人员（CISAW）等安全技能培训认证课程内容授课，确保管理人员和技术人员掌握关于信息系统等级保护相关规范、信息安全策略、信息保密制度，信息安全管理制度和相关流程等。</w:t>
      </w:r>
    </w:p>
    <w:p>
      <w:pPr>
        <w:spacing w:line="360" w:lineRule="auto"/>
        <w:ind w:firstLine="480" w:firstLineChars="200"/>
        <w:rPr>
          <w:rFonts w:ascii="宋体" w:hAnsi="宋体" w:cs="Arial"/>
          <w:sz w:val="24"/>
          <w:szCs w:val="24"/>
          <w:highlight w:val="none"/>
        </w:rPr>
      </w:pPr>
      <w:r>
        <w:rPr>
          <w:rFonts w:hint="eastAsia" w:ascii="宋体" w:hAnsi="宋体" w:cs="Arial"/>
          <w:sz w:val="24"/>
          <w:szCs w:val="24"/>
          <w:highlight w:val="none"/>
        </w:rPr>
        <w:t>专业培训包括</w:t>
      </w:r>
      <w:r>
        <w:rPr>
          <w:rFonts w:ascii="宋体" w:hAnsi="宋体" w:cs="Arial"/>
          <w:sz w:val="24"/>
          <w:szCs w:val="24"/>
          <w:highlight w:val="none"/>
        </w:rPr>
        <w:t>2</w:t>
      </w:r>
      <w:r>
        <w:rPr>
          <w:rFonts w:hint="eastAsia" w:ascii="宋体" w:hAnsi="宋体" w:cs="Arial"/>
          <w:sz w:val="24"/>
          <w:szCs w:val="24"/>
          <w:highlight w:val="none"/>
        </w:rPr>
        <w:t>个CISP（注册信息安全专业人员）培训名额。</w:t>
      </w:r>
    </w:p>
    <w:p>
      <w:pPr>
        <w:rPr>
          <w:b/>
          <w:bCs/>
          <w:sz w:val="28"/>
          <w:szCs w:val="24"/>
          <w:highlight w:val="none"/>
        </w:rPr>
      </w:pPr>
      <w:bookmarkStart w:id="118" w:name="_Toc53217156"/>
      <w:r>
        <w:rPr>
          <w:rFonts w:hint="eastAsia"/>
          <w:b/>
          <w:bCs/>
          <w:sz w:val="28"/>
          <w:szCs w:val="24"/>
          <w:highlight w:val="none"/>
        </w:rPr>
        <w:t>六、工作要求：</w:t>
      </w:r>
      <w:bookmarkEnd w:id="118"/>
    </w:p>
    <w:p>
      <w:pPr>
        <w:numPr>
          <w:ilvl w:val="0"/>
          <w:numId w:val="10"/>
        </w:numPr>
        <w:spacing w:line="360" w:lineRule="auto"/>
        <w:rPr>
          <w:rFonts w:ascii="宋体" w:hAnsi="宋体" w:cs="Arial"/>
          <w:b/>
          <w:sz w:val="24"/>
          <w:szCs w:val="24"/>
          <w:highlight w:val="none"/>
        </w:rPr>
      </w:pPr>
      <w:bookmarkStart w:id="119" w:name="_Toc52369337"/>
      <w:bookmarkStart w:id="120" w:name="_Toc53217157"/>
      <w:bookmarkStart w:id="121" w:name="_Toc46177957"/>
      <w:r>
        <w:rPr>
          <w:rFonts w:hint="eastAsia" w:ascii="宋体" w:hAnsi="宋体" w:cs="Arial"/>
          <w:b/>
          <w:sz w:val="24"/>
          <w:szCs w:val="24"/>
          <w:highlight w:val="none"/>
        </w:rPr>
        <w:t>实施原则</w:t>
      </w:r>
      <w:bookmarkEnd w:id="119"/>
      <w:bookmarkEnd w:id="120"/>
      <w:bookmarkEnd w:id="121"/>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规范性原则：成交供应商工作中的过程和文档，具有很好的规范性，可以便于项目的跟踪和控制；</w:t>
      </w:r>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标准性原则：测评方案的设计与实施应依据国家等级保护的相关标准进行。</w:t>
      </w:r>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可控性原则：测评的工具、方法和过程需在双方认可的范围之内并符合进度表的安排，保证采购人对服务工作的可控性；</w:t>
      </w:r>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整体性原则：测评和分析的范围和内容应当整体全面，包括安全涉及的各个层面，避免由于遗漏造成未来的安全隐患；</w:t>
      </w:r>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最小影响原则：测评工作应尽可能小的影响系统和网络的正常运行，不能对现网的运行和业务的正常提供产生显著影响(包括系统性能明显下降、网络拥塞、服务中断</w:t>
      </w:r>
      <w:r>
        <w:rPr>
          <w:rFonts w:hint="eastAsia" w:ascii="宋体" w:hAnsi="宋体" w:cs="Arial"/>
          <w:sz w:val="24"/>
          <w:szCs w:val="24"/>
          <w:highlight w:val="none"/>
        </w:rPr>
        <w:t>)，如无法避免，则应预先做出说明并经采购人同意后实施，在项目实施过程中，需有可行性的风险规避处置措施</w:t>
      </w:r>
    </w:p>
    <w:p>
      <w:pPr>
        <w:tabs>
          <w:tab w:val="left" w:pos="720"/>
        </w:tabs>
        <w:adjustRightInd w:val="0"/>
        <w:snapToGrid w:val="0"/>
        <w:spacing w:line="360" w:lineRule="auto"/>
        <w:ind w:firstLine="460" w:firstLineChars="192"/>
        <w:rPr>
          <w:rFonts w:ascii="宋体" w:hAnsi="宋体" w:cs="Arial"/>
          <w:sz w:val="24"/>
          <w:szCs w:val="24"/>
          <w:highlight w:val="none"/>
        </w:rPr>
      </w:pPr>
      <w:r>
        <w:rPr>
          <w:rFonts w:hint="eastAsia" w:ascii="宋体" w:hAnsi="宋体" w:cs="Arial"/>
          <w:sz w:val="24"/>
          <w:szCs w:val="24"/>
          <w:highlight w:val="none"/>
        </w:rPr>
        <w:t>保密原则：对测评的过程数据和结果数据严格保密，未经授权不得泄露给任何单位和个人，不得利用此数据进行任何侵害采购人网络的行为，否则采购人有权追究责任。</w:t>
      </w:r>
    </w:p>
    <w:p>
      <w:pPr>
        <w:numPr>
          <w:ilvl w:val="0"/>
          <w:numId w:val="10"/>
        </w:numPr>
        <w:spacing w:line="360" w:lineRule="auto"/>
        <w:rPr>
          <w:rFonts w:ascii="宋体" w:hAnsi="宋体" w:cs="Arial"/>
          <w:b/>
          <w:sz w:val="24"/>
          <w:szCs w:val="24"/>
          <w:highlight w:val="none"/>
        </w:rPr>
      </w:pPr>
      <w:bookmarkStart w:id="122" w:name="_Toc52369338"/>
      <w:bookmarkStart w:id="123" w:name="_Toc53217158"/>
      <w:bookmarkStart w:id="124" w:name="_Toc46177958"/>
      <w:r>
        <w:rPr>
          <w:rFonts w:hint="eastAsia" w:ascii="宋体" w:hAnsi="宋体" w:cs="Arial"/>
          <w:b/>
          <w:sz w:val="24"/>
          <w:szCs w:val="24"/>
          <w:highlight w:val="none"/>
        </w:rPr>
        <w:t>测评依据</w:t>
      </w:r>
      <w:bookmarkEnd w:id="122"/>
      <w:bookmarkEnd w:id="123"/>
      <w:bookmarkEnd w:id="124"/>
    </w:p>
    <w:p>
      <w:pPr>
        <w:tabs>
          <w:tab w:val="left" w:pos="720"/>
        </w:tabs>
        <w:adjustRightInd w:val="0"/>
        <w:snapToGrid w:val="0"/>
        <w:spacing w:line="360" w:lineRule="auto"/>
        <w:rPr>
          <w:rFonts w:ascii="宋体" w:hAnsi="宋体" w:cs="Arial"/>
          <w:sz w:val="24"/>
          <w:szCs w:val="24"/>
          <w:highlight w:val="none"/>
        </w:rPr>
      </w:pPr>
      <w:r>
        <w:rPr>
          <w:rFonts w:hint="eastAsia" w:ascii="宋体" w:hAnsi="宋体" w:cs="Arial"/>
          <w:sz w:val="24"/>
          <w:szCs w:val="24"/>
          <w:highlight w:val="none"/>
        </w:rPr>
        <w:t xml:space="preserve">《信息安全技术 网络安全等级保护基本要求》（GB/T 22239-2019） </w:t>
      </w:r>
    </w:p>
    <w:p>
      <w:pPr>
        <w:tabs>
          <w:tab w:val="left" w:pos="720"/>
        </w:tabs>
        <w:adjustRightInd w:val="0"/>
        <w:snapToGrid w:val="0"/>
        <w:spacing w:line="360" w:lineRule="auto"/>
        <w:rPr>
          <w:rFonts w:ascii="宋体" w:hAnsi="宋体" w:cs="Arial"/>
          <w:sz w:val="24"/>
          <w:szCs w:val="24"/>
          <w:highlight w:val="none"/>
        </w:rPr>
      </w:pPr>
      <w:r>
        <w:rPr>
          <w:rFonts w:hint="eastAsia" w:ascii="宋体" w:hAnsi="宋体" w:cs="Arial"/>
          <w:sz w:val="24"/>
          <w:szCs w:val="24"/>
          <w:highlight w:val="none"/>
        </w:rPr>
        <w:t>《信息安全技术 网络安全等级保护定级指南》（GB/T 22240-2020）</w:t>
      </w:r>
    </w:p>
    <w:p>
      <w:pPr>
        <w:tabs>
          <w:tab w:val="left" w:pos="720"/>
        </w:tabs>
        <w:adjustRightInd w:val="0"/>
        <w:snapToGrid w:val="0"/>
        <w:spacing w:line="360" w:lineRule="auto"/>
        <w:rPr>
          <w:rFonts w:ascii="宋体" w:hAnsi="宋体" w:cs="Arial"/>
          <w:sz w:val="24"/>
          <w:szCs w:val="24"/>
          <w:highlight w:val="none"/>
        </w:rPr>
      </w:pPr>
      <w:r>
        <w:rPr>
          <w:rFonts w:hint="eastAsia" w:ascii="宋体" w:hAnsi="宋体" w:cs="Arial"/>
          <w:sz w:val="24"/>
          <w:szCs w:val="24"/>
          <w:highlight w:val="none"/>
        </w:rPr>
        <w:t xml:space="preserve">《信息安全技术 网络安全等级保护测评要求》（GB/T 28448-2019） </w:t>
      </w:r>
    </w:p>
    <w:p>
      <w:pPr>
        <w:tabs>
          <w:tab w:val="left" w:pos="720"/>
        </w:tabs>
        <w:adjustRightInd w:val="0"/>
        <w:snapToGrid w:val="0"/>
        <w:spacing w:line="360" w:lineRule="auto"/>
        <w:rPr>
          <w:rFonts w:ascii="宋体" w:hAnsi="宋体" w:cs="Arial"/>
          <w:sz w:val="24"/>
          <w:szCs w:val="24"/>
          <w:highlight w:val="none"/>
        </w:rPr>
      </w:pPr>
      <w:r>
        <w:rPr>
          <w:rFonts w:hint="eastAsia" w:ascii="宋体" w:hAnsi="宋体" w:cs="Arial"/>
          <w:sz w:val="24"/>
          <w:szCs w:val="24"/>
          <w:highlight w:val="none"/>
        </w:rPr>
        <w:t>《信息安全技术 网络安全等级保护测评过程指南》（GB∕T 28449-2018）</w:t>
      </w:r>
    </w:p>
    <w:p>
      <w:pPr>
        <w:numPr>
          <w:ilvl w:val="0"/>
          <w:numId w:val="10"/>
        </w:numPr>
        <w:spacing w:line="360" w:lineRule="auto"/>
        <w:rPr>
          <w:rFonts w:ascii="宋体" w:hAnsi="宋体" w:cs="Arial"/>
          <w:b/>
          <w:sz w:val="24"/>
          <w:szCs w:val="24"/>
          <w:highlight w:val="none"/>
        </w:rPr>
      </w:pPr>
      <w:r>
        <w:rPr>
          <w:rFonts w:hint="eastAsia" w:ascii="宋体" w:hAnsi="宋体" w:cs="Arial"/>
          <w:b/>
          <w:sz w:val="24"/>
          <w:szCs w:val="24"/>
          <w:highlight w:val="none"/>
        </w:rPr>
        <w:t>等级保护测评内容</w:t>
      </w:r>
    </w:p>
    <w:p>
      <w:pPr>
        <w:numPr>
          <w:ilvl w:val="1"/>
          <w:numId w:val="11"/>
        </w:numPr>
        <w:spacing w:line="360" w:lineRule="auto"/>
        <w:ind w:left="420" w:leftChars="200" w:firstLine="0"/>
        <w:outlineLvl w:val="4"/>
        <w:rPr>
          <w:rFonts w:ascii="宋体" w:hAnsi="宋体"/>
          <w:b/>
          <w:sz w:val="24"/>
          <w:szCs w:val="24"/>
          <w:highlight w:val="none"/>
        </w:rPr>
      </w:pPr>
      <w:bookmarkStart w:id="125" w:name="_Toc311015404"/>
      <w:bookmarkStart w:id="126" w:name="_Toc4424565"/>
      <w:bookmarkStart w:id="127" w:name="_Toc288574635"/>
      <w:bookmarkStart w:id="128" w:name="_Toc288552020"/>
      <w:bookmarkStart w:id="129" w:name="_Toc287704425"/>
      <w:bookmarkStart w:id="130" w:name="_Toc288570237"/>
      <w:r>
        <w:rPr>
          <w:rFonts w:hint="eastAsia" w:ascii="宋体" w:hAnsi="宋体"/>
          <w:b/>
          <w:sz w:val="24"/>
          <w:szCs w:val="24"/>
          <w:highlight w:val="none"/>
        </w:rPr>
        <w:t>等级保护测评内容</w:t>
      </w:r>
      <w:bookmarkEnd w:id="125"/>
      <w:bookmarkEnd w:id="126"/>
    </w:p>
    <w:p>
      <w:pPr>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根据国家等级保护相关标准，本次项目的网络安全等级保护测评应包括以下内容：</w:t>
      </w:r>
    </w:p>
    <w:bookmarkEnd w:id="127"/>
    <w:bookmarkEnd w:id="128"/>
    <w:bookmarkEnd w:id="129"/>
    <w:bookmarkEnd w:id="130"/>
    <w:p>
      <w:pPr>
        <w:overflowPunct w:val="0"/>
        <w:topLinePunct/>
        <w:snapToGrid w:val="0"/>
        <w:spacing w:line="360" w:lineRule="auto"/>
        <w:ind w:firstLine="480" w:firstLineChars="200"/>
        <w:rPr>
          <w:rFonts w:ascii="宋体" w:hAnsi="宋体"/>
          <w:sz w:val="24"/>
          <w:szCs w:val="24"/>
          <w:highlight w:val="none"/>
        </w:rPr>
      </w:pPr>
      <w:r>
        <w:rPr>
          <w:rFonts w:ascii="宋体" w:hAnsi="宋体"/>
          <w:sz w:val="24"/>
          <w:szCs w:val="24"/>
          <w:highlight w:val="none"/>
        </w:rPr>
        <w:t>安全技术测评：</w:t>
      </w:r>
      <w:r>
        <w:rPr>
          <w:rFonts w:hint="eastAsia" w:ascii="宋体" w:hAnsi="宋体"/>
          <w:sz w:val="24"/>
          <w:szCs w:val="24"/>
          <w:highlight w:val="none"/>
        </w:rPr>
        <w:t>包括安全物理环境</w:t>
      </w:r>
      <w:r>
        <w:rPr>
          <w:rFonts w:ascii="宋体" w:hAnsi="宋体"/>
          <w:sz w:val="24"/>
          <w:szCs w:val="24"/>
          <w:highlight w:val="none"/>
        </w:rPr>
        <w:t>、安全</w:t>
      </w:r>
      <w:r>
        <w:rPr>
          <w:rFonts w:hint="eastAsia" w:ascii="宋体" w:hAnsi="宋体"/>
          <w:sz w:val="24"/>
          <w:szCs w:val="24"/>
          <w:highlight w:val="none"/>
        </w:rPr>
        <w:t>通信</w:t>
      </w:r>
      <w:r>
        <w:rPr>
          <w:rFonts w:ascii="宋体" w:hAnsi="宋体"/>
          <w:sz w:val="24"/>
          <w:szCs w:val="24"/>
          <w:highlight w:val="none"/>
        </w:rPr>
        <w:t>网络</w:t>
      </w:r>
      <w:r>
        <w:rPr>
          <w:rFonts w:hint="eastAsia" w:ascii="宋体" w:hAnsi="宋体"/>
          <w:sz w:val="24"/>
          <w:szCs w:val="24"/>
          <w:highlight w:val="none"/>
        </w:rPr>
        <w:t>、</w:t>
      </w:r>
      <w:r>
        <w:rPr>
          <w:rFonts w:ascii="宋体" w:hAnsi="宋体"/>
          <w:sz w:val="24"/>
          <w:szCs w:val="24"/>
          <w:highlight w:val="none"/>
        </w:rPr>
        <w:t>安全</w:t>
      </w:r>
      <w:r>
        <w:rPr>
          <w:rFonts w:hint="eastAsia" w:ascii="宋体" w:hAnsi="宋体"/>
          <w:sz w:val="24"/>
          <w:szCs w:val="24"/>
          <w:highlight w:val="none"/>
        </w:rPr>
        <w:t>区域边界、安全计算环境、安全管理中心</w:t>
      </w:r>
      <w:r>
        <w:rPr>
          <w:rFonts w:ascii="宋体" w:hAnsi="宋体"/>
          <w:sz w:val="24"/>
          <w:szCs w:val="24"/>
          <w:highlight w:val="none"/>
        </w:rPr>
        <w:t>等</w:t>
      </w:r>
      <w:r>
        <w:rPr>
          <w:rFonts w:hint="eastAsia" w:ascii="宋体" w:hAnsi="宋体"/>
          <w:sz w:val="24"/>
          <w:szCs w:val="24"/>
          <w:highlight w:val="none"/>
        </w:rPr>
        <w:t>五个方面的安全</w:t>
      </w:r>
      <w:r>
        <w:rPr>
          <w:rFonts w:ascii="宋体" w:hAnsi="宋体"/>
          <w:sz w:val="24"/>
          <w:szCs w:val="24"/>
          <w:highlight w:val="none"/>
        </w:rPr>
        <w:t>测评；</w:t>
      </w:r>
    </w:p>
    <w:p>
      <w:pPr>
        <w:overflowPunct w:val="0"/>
        <w:topLinePunct/>
        <w:snapToGrid w:val="0"/>
        <w:spacing w:line="360" w:lineRule="auto"/>
        <w:ind w:firstLine="480" w:firstLineChars="200"/>
        <w:rPr>
          <w:rFonts w:ascii="宋体" w:hAnsi="宋体"/>
          <w:sz w:val="24"/>
          <w:szCs w:val="24"/>
          <w:highlight w:val="none"/>
        </w:rPr>
      </w:pPr>
      <w:r>
        <w:rPr>
          <w:rFonts w:ascii="宋体" w:hAnsi="宋体"/>
          <w:sz w:val="24"/>
          <w:szCs w:val="24"/>
          <w:highlight w:val="none"/>
        </w:rPr>
        <w:t>安全管理测评：</w:t>
      </w:r>
      <w:r>
        <w:rPr>
          <w:rFonts w:hint="eastAsia" w:ascii="宋体" w:hAnsi="宋体"/>
          <w:sz w:val="24"/>
          <w:szCs w:val="24"/>
          <w:highlight w:val="none"/>
        </w:rPr>
        <w:t>包括</w:t>
      </w:r>
      <w:r>
        <w:rPr>
          <w:rFonts w:ascii="宋体" w:hAnsi="宋体"/>
          <w:sz w:val="24"/>
          <w:szCs w:val="24"/>
          <w:highlight w:val="none"/>
        </w:rPr>
        <w:t>安全管理</w:t>
      </w:r>
      <w:r>
        <w:rPr>
          <w:rFonts w:hint="eastAsia" w:ascii="宋体" w:hAnsi="宋体"/>
          <w:sz w:val="24"/>
          <w:szCs w:val="24"/>
          <w:highlight w:val="none"/>
        </w:rPr>
        <w:t>制度</w:t>
      </w:r>
      <w:r>
        <w:rPr>
          <w:rFonts w:ascii="宋体" w:hAnsi="宋体"/>
          <w:sz w:val="24"/>
          <w:szCs w:val="24"/>
          <w:highlight w:val="none"/>
        </w:rPr>
        <w:t>、安全管理</w:t>
      </w:r>
      <w:r>
        <w:rPr>
          <w:rFonts w:hint="eastAsia" w:ascii="宋体" w:hAnsi="宋体"/>
          <w:sz w:val="24"/>
          <w:szCs w:val="24"/>
          <w:highlight w:val="none"/>
        </w:rPr>
        <w:t>机构、</w:t>
      </w:r>
      <w:r>
        <w:rPr>
          <w:rFonts w:ascii="宋体" w:hAnsi="宋体"/>
          <w:sz w:val="24"/>
          <w:szCs w:val="24"/>
          <w:highlight w:val="none"/>
        </w:rPr>
        <w:t>安全管理人员、</w:t>
      </w:r>
      <w:r>
        <w:rPr>
          <w:rFonts w:hint="eastAsia" w:ascii="宋体" w:hAnsi="宋体"/>
          <w:sz w:val="24"/>
          <w:szCs w:val="24"/>
          <w:highlight w:val="none"/>
        </w:rPr>
        <w:t>安全</w:t>
      </w:r>
      <w:r>
        <w:rPr>
          <w:rFonts w:ascii="宋体" w:hAnsi="宋体"/>
          <w:sz w:val="24"/>
          <w:szCs w:val="24"/>
          <w:highlight w:val="none"/>
        </w:rPr>
        <w:t>建设管理和</w:t>
      </w:r>
      <w:r>
        <w:rPr>
          <w:rFonts w:hint="eastAsia" w:ascii="宋体" w:hAnsi="宋体"/>
          <w:sz w:val="24"/>
          <w:szCs w:val="24"/>
          <w:highlight w:val="none"/>
        </w:rPr>
        <w:t>安全</w:t>
      </w:r>
      <w:r>
        <w:rPr>
          <w:rFonts w:ascii="宋体" w:hAnsi="宋体"/>
          <w:sz w:val="24"/>
          <w:szCs w:val="24"/>
          <w:highlight w:val="none"/>
        </w:rPr>
        <w:t>运维管理等</w:t>
      </w:r>
      <w:r>
        <w:rPr>
          <w:rFonts w:hint="eastAsia" w:ascii="宋体" w:hAnsi="宋体"/>
          <w:sz w:val="24"/>
          <w:szCs w:val="24"/>
          <w:highlight w:val="none"/>
        </w:rPr>
        <w:t>五</w:t>
      </w:r>
      <w:r>
        <w:rPr>
          <w:rFonts w:ascii="宋体" w:hAnsi="宋体"/>
          <w:sz w:val="24"/>
          <w:szCs w:val="24"/>
          <w:highlight w:val="none"/>
        </w:rPr>
        <w:t>个方面的安全测评</w:t>
      </w:r>
      <w:r>
        <w:rPr>
          <w:rFonts w:hint="eastAsia" w:ascii="宋体" w:hAnsi="宋体"/>
          <w:color w:val="000000"/>
          <w:sz w:val="24"/>
          <w:szCs w:val="24"/>
          <w:highlight w:val="none"/>
        </w:rPr>
        <w:t>。</w:t>
      </w:r>
    </w:p>
    <w:p>
      <w:pPr>
        <w:numPr>
          <w:ilvl w:val="1"/>
          <w:numId w:val="11"/>
        </w:numPr>
        <w:spacing w:line="360" w:lineRule="auto"/>
        <w:ind w:left="420" w:leftChars="200" w:firstLine="0"/>
        <w:outlineLvl w:val="4"/>
        <w:rPr>
          <w:rFonts w:ascii="宋体" w:hAnsi="宋体"/>
          <w:b/>
          <w:sz w:val="24"/>
          <w:szCs w:val="24"/>
          <w:highlight w:val="none"/>
        </w:rPr>
      </w:pPr>
      <w:bookmarkStart w:id="131" w:name="_Toc4424566"/>
      <w:r>
        <w:rPr>
          <w:rFonts w:hint="eastAsia" w:ascii="宋体" w:hAnsi="宋体"/>
          <w:b/>
          <w:sz w:val="24"/>
          <w:szCs w:val="24"/>
          <w:highlight w:val="none"/>
        </w:rPr>
        <w:t>安全物理</w:t>
      </w:r>
      <w:bookmarkEnd w:id="131"/>
      <w:r>
        <w:rPr>
          <w:rFonts w:hint="eastAsia" w:ascii="宋体" w:hAnsi="宋体"/>
          <w:b/>
          <w:sz w:val="24"/>
          <w:szCs w:val="24"/>
          <w:highlight w:val="none"/>
        </w:rPr>
        <w:t>环境</w:t>
      </w:r>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物理环境是对机房和办公场所的物理环境安全防护情况进行测评，包括物理位置选择、物理访问控制、防盗窃和防破坏、防雷击、防火、防水和防潮、防静电、温湿度控制、电力供应和电磁防护等方面的安全状况。</w:t>
      </w:r>
    </w:p>
    <w:p>
      <w:pPr>
        <w:numPr>
          <w:ilvl w:val="1"/>
          <w:numId w:val="11"/>
        </w:numPr>
        <w:spacing w:line="360" w:lineRule="auto"/>
        <w:ind w:left="420" w:leftChars="200" w:firstLine="0"/>
        <w:outlineLvl w:val="4"/>
        <w:rPr>
          <w:rFonts w:ascii="宋体" w:hAnsi="宋体"/>
          <w:b/>
          <w:sz w:val="24"/>
          <w:szCs w:val="24"/>
          <w:highlight w:val="none"/>
        </w:rPr>
      </w:pPr>
      <w:bookmarkStart w:id="132" w:name="_Toc4424567"/>
      <w:r>
        <w:rPr>
          <w:rFonts w:hint="eastAsia" w:ascii="宋体" w:hAnsi="宋体"/>
          <w:b/>
          <w:sz w:val="24"/>
          <w:szCs w:val="24"/>
          <w:highlight w:val="none"/>
        </w:rPr>
        <w:t>安全通信网络</w:t>
      </w:r>
      <w:bookmarkEnd w:id="132"/>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安全通信网络测评是对网络系统安全防护情况进行测评，包括网络架构、通信传输、可信验证等方面的安全状况。</w:t>
      </w:r>
    </w:p>
    <w:p>
      <w:pPr>
        <w:numPr>
          <w:ilvl w:val="1"/>
          <w:numId w:val="11"/>
        </w:numPr>
        <w:spacing w:line="360" w:lineRule="auto"/>
        <w:ind w:left="420" w:leftChars="200" w:firstLine="0"/>
        <w:outlineLvl w:val="4"/>
        <w:rPr>
          <w:rFonts w:ascii="宋体" w:hAnsi="宋体"/>
          <w:b/>
          <w:sz w:val="24"/>
          <w:szCs w:val="24"/>
          <w:highlight w:val="none"/>
        </w:rPr>
      </w:pPr>
      <w:r>
        <w:rPr>
          <w:rFonts w:hint="eastAsia" w:ascii="宋体" w:hAnsi="宋体"/>
          <w:b/>
          <w:sz w:val="24"/>
          <w:szCs w:val="24"/>
          <w:highlight w:val="none"/>
        </w:rPr>
        <w:t>安全区域边界</w:t>
      </w:r>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安全区域边界是对边界防护、访问控制、入侵防范、恶意代码防范、安全审计、可信验证等方面的测评。</w:t>
      </w:r>
    </w:p>
    <w:p>
      <w:pPr>
        <w:numPr>
          <w:ilvl w:val="1"/>
          <w:numId w:val="11"/>
        </w:numPr>
        <w:spacing w:line="360" w:lineRule="auto"/>
        <w:ind w:left="420" w:leftChars="200" w:firstLine="0"/>
        <w:outlineLvl w:val="4"/>
        <w:rPr>
          <w:rFonts w:ascii="宋体" w:hAnsi="宋体"/>
          <w:b/>
          <w:sz w:val="24"/>
          <w:szCs w:val="24"/>
          <w:highlight w:val="none"/>
        </w:rPr>
      </w:pPr>
      <w:bookmarkStart w:id="133" w:name="_Toc4424569"/>
      <w:r>
        <w:rPr>
          <w:rFonts w:hint="eastAsia" w:ascii="宋体" w:hAnsi="宋体"/>
          <w:b/>
          <w:sz w:val="24"/>
          <w:szCs w:val="24"/>
          <w:highlight w:val="none"/>
        </w:rPr>
        <w:t>安全</w:t>
      </w:r>
      <w:bookmarkEnd w:id="133"/>
      <w:r>
        <w:rPr>
          <w:rFonts w:hint="eastAsia" w:ascii="宋体" w:hAnsi="宋体"/>
          <w:b/>
          <w:sz w:val="24"/>
          <w:szCs w:val="24"/>
          <w:highlight w:val="none"/>
        </w:rPr>
        <w:t>计算环境</w:t>
      </w:r>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安全计算环境是对身份鉴别、访问控制、安全审计、入侵防范、恶意代码防范、可信验证、数据完整性、数据保密性、数据备份恢复、剩余信息保护、个人信息保护等方面的测评。</w:t>
      </w:r>
    </w:p>
    <w:p>
      <w:pPr>
        <w:numPr>
          <w:ilvl w:val="1"/>
          <w:numId w:val="11"/>
        </w:numPr>
        <w:spacing w:line="360" w:lineRule="auto"/>
        <w:ind w:left="420" w:leftChars="200" w:firstLine="0"/>
        <w:outlineLvl w:val="4"/>
        <w:rPr>
          <w:rFonts w:ascii="宋体" w:hAnsi="宋体"/>
          <w:b/>
          <w:sz w:val="24"/>
          <w:szCs w:val="24"/>
          <w:highlight w:val="none"/>
        </w:rPr>
      </w:pPr>
      <w:r>
        <w:rPr>
          <w:rFonts w:hint="eastAsia" w:ascii="宋体" w:hAnsi="宋体"/>
          <w:b/>
          <w:sz w:val="24"/>
          <w:szCs w:val="24"/>
          <w:highlight w:val="none"/>
        </w:rPr>
        <w:t>安全管理中心</w:t>
      </w:r>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安全管理中心是对系统管理、审计管理、安全管理、集中管控等方面的测评。</w:t>
      </w:r>
    </w:p>
    <w:p>
      <w:pPr>
        <w:numPr>
          <w:ilvl w:val="1"/>
          <w:numId w:val="11"/>
        </w:numPr>
        <w:spacing w:line="360" w:lineRule="auto"/>
        <w:ind w:left="420" w:leftChars="200" w:firstLine="0"/>
        <w:outlineLvl w:val="4"/>
        <w:rPr>
          <w:rFonts w:ascii="宋体" w:hAnsi="宋体"/>
          <w:b/>
          <w:sz w:val="24"/>
          <w:szCs w:val="24"/>
          <w:highlight w:val="none"/>
        </w:rPr>
      </w:pPr>
      <w:bookmarkStart w:id="134" w:name="_Toc4424571"/>
      <w:r>
        <w:rPr>
          <w:rFonts w:hint="eastAsia" w:ascii="宋体" w:hAnsi="宋体"/>
          <w:b/>
          <w:sz w:val="24"/>
          <w:szCs w:val="24"/>
          <w:highlight w:val="none"/>
        </w:rPr>
        <w:t>安全管理制度</w:t>
      </w:r>
      <w:bookmarkEnd w:id="134"/>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安全管理制度测评是对安全策略、管理制度、制定和发布、评审和修订进行测评。</w:t>
      </w:r>
    </w:p>
    <w:p>
      <w:pPr>
        <w:numPr>
          <w:ilvl w:val="1"/>
          <w:numId w:val="11"/>
        </w:numPr>
        <w:spacing w:line="360" w:lineRule="auto"/>
        <w:ind w:left="420" w:leftChars="200" w:firstLine="0"/>
        <w:outlineLvl w:val="4"/>
        <w:rPr>
          <w:rFonts w:ascii="宋体" w:hAnsi="宋体"/>
          <w:b/>
          <w:sz w:val="24"/>
          <w:szCs w:val="24"/>
          <w:highlight w:val="none"/>
        </w:rPr>
      </w:pPr>
      <w:bookmarkStart w:id="135" w:name="_Toc4424572"/>
      <w:r>
        <w:rPr>
          <w:rFonts w:hint="eastAsia" w:ascii="宋体" w:hAnsi="宋体"/>
          <w:b/>
          <w:sz w:val="24"/>
          <w:szCs w:val="24"/>
          <w:highlight w:val="none"/>
        </w:rPr>
        <w:t>安全管理机构</w:t>
      </w:r>
      <w:bookmarkEnd w:id="135"/>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安全管理机构测评是对岗位设置、人员配备、授权和审批、沟通和合作、审核和检查等情况进行测评。</w:t>
      </w:r>
    </w:p>
    <w:p>
      <w:pPr>
        <w:numPr>
          <w:ilvl w:val="1"/>
          <w:numId w:val="11"/>
        </w:numPr>
        <w:spacing w:line="360" w:lineRule="auto"/>
        <w:ind w:left="420" w:leftChars="200" w:firstLine="0"/>
        <w:outlineLvl w:val="4"/>
        <w:rPr>
          <w:rFonts w:ascii="宋体" w:hAnsi="宋体"/>
          <w:b/>
          <w:sz w:val="24"/>
          <w:szCs w:val="24"/>
          <w:highlight w:val="none"/>
        </w:rPr>
      </w:pPr>
      <w:bookmarkStart w:id="136" w:name="_Toc4424573"/>
      <w:r>
        <w:rPr>
          <w:rFonts w:hint="eastAsia" w:ascii="宋体" w:hAnsi="宋体"/>
          <w:b/>
          <w:sz w:val="24"/>
          <w:szCs w:val="24"/>
          <w:highlight w:val="none"/>
        </w:rPr>
        <w:t>安全管理</w:t>
      </w:r>
      <w:bookmarkEnd w:id="136"/>
      <w:r>
        <w:rPr>
          <w:rFonts w:hint="eastAsia" w:ascii="宋体" w:hAnsi="宋体"/>
          <w:b/>
          <w:sz w:val="24"/>
          <w:szCs w:val="24"/>
          <w:highlight w:val="none"/>
        </w:rPr>
        <w:t>人员</w:t>
      </w:r>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安全管理人员测评是对人员录用、人员离岗、安全意识教育和培训、外部人员访问管理等情况进行测评。</w:t>
      </w:r>
    </w:p>
    <w:p>
      <w:pPr>
        <w:numPr>
          <w:ilvl w:val="1"/>
          <w:numId w:val="11"/>
        </w:numPr>
        <w:spacing w:line="360" w:lineRule="auto"/>
        <w:ind w:left="420" w:leftChars="200" w:firstLine="0"/>
        <w:outlineLvl w:val="4"/>
        <w:rPr>
          <w:rFonts w:ascii="宋体" w:hAnsi="宋体"/>
          <w:b/>
          <w:sz w:val="24"/>
          <w:szCs w:val="24"/>
          <w:highlight w:val="none"/>
        </w:rPr>
      </w:pPr>
      <w:bookmarkStart w:id="137" w:name="_Toc4424574"/>
      <w:r>
        <w:rPr>
          <w:rFonts w:hint="eastAsia" w:ascii="宋体" w:hAnsi="宋体"/>
          <w:b/>
          <w:sz w:val="24"/>
          <w:szCs w:val="24"/>
          <w:highlight w:val="none"/>
        </w:rPr>
        <w:t>安全建设管理</w:t>
      </w:r>
      <w:bookmarkEnd w:id="137"/>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安全建设管理测评是对建设过程中的系统定级和备案、安全方案设计、产品采购和使用、自行软件开发、外包软件开发、 工程实施、测试验收、系统交付、 等级测评、服务供应商选择等情况进行测评。</w:t>
      </w:r>
    </w:p>
    <w:p>
      <w:pPr>
        <w:numPr>
          <w:ilvl w:val="1"/>
          <w:numId w:val="11"/>
        </w:numPr>
        <w:spacing w:line="360" w:lineRule="auto"/>
        <w:ind w:left="420" w:leftChars="200" w:firstLine="0"/>
        <w:outlineLvl w:val="4"/>
        <w:rPr>
          <w:rFonts w:ascii="宋体" w:hAnsi="宋体"/>
          <w:b/>
          <w:sz w:val="24"/>
          <w:szCs w:val="24"/>
          <w:highlight w:val="none"/>
        </w:rPr>
      </w:pPr>
      <w:bookmarkStart w:id="138" w:name="_Toc4424575"/>
      <w:r>
        <w:rPr>
          <w:rFonts w:hint="eastAsia" w:ascii="宋体" w:hAnsi="宋体"/>
          <w:b/>
          <w:sz w:val="24"/>
          <w:szCs w:val="24"/>
          <w:highlight w:val="none"/>
        </w:rPr>
        <w:t>安全运维管理</w:t>
      </w:r>
      <w:bookmarkEnd w:id="138"/>
    </w:p>
    <w:p>
      <w:pPr>
        <w:tabs>
          <w:tab w:val="left" w:pos="1080"/>
          <w:tab w:val="left" w:pos="168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安全运维管理测评是对环境管理、资产管理、介质管理、设备维护管理、漏洞和风险管理、网络和系统安全管理、恶意代码防范管理、配置管理、密码管理、变更管理、备份与恢复管理、安全事件处置、 应急预案管理、外包运维管理等情况进行测评。</w:t>
      </w:r>
    </w:p>
    <w:p>
      <w:pPr>
        <w:rPr>
          <w:b/>
          <w:bCs/>
          <w:sz w:val="28"/>
          <w:szCs w:val="24"/>
          <w:highlight w:val="none"/>
        </w:rPr>
      </w:pPr>
      <w:bookmarkStart w:id="139" w:name="_Toc53217159"/>
      <w:r>
        <w:rPr>
          <w:rFonts w:hint="eastAsia"/>
          <w:b/>
          <w:bCs/>
          <w:sz w:val="28"/>
          <w:szCs w:val="24"/>
          <w:highlight w:val="none"/>
        </w:rPr>
        <w:t>七、报价要求</w:t>
      </w:r>
      <w:bookmarkEnd w:id="139"/>
    </w:p>
    <w:p>
      <w:pPr>
        <w:tabs>
          <w:tab w:val="left" w:pos="284"/>
        </w:tabs>
        <w:spacing w:line="360" w:lineRule="auto"/>
        <w:ind w:firstLine="480" w:firstLineChars="200"/>
        <w:jc w:val="left"/>
        <w:rPr>
          <w:rFonts w:ascii="宋体" w:hAnsi="宋体" w:cs="Arial"/>
          <w:sz w:val="24"/>
          <w:szCs w:val="24"/>
          <w:highlight w:val="none"/>
        </w:rPr>
      </w:pPr>
      <w:r>
        <w:rPr>
          <w:rFonts w:hint="eastAsia" w:ascii="宋体" w:hAnsi="宋体" w:cs="Arial"/>
          <w:sz w:val="24"/>
          <w:szCs w:val="24"/>
          <w:highlight w:val="none"/>
        </w:rPr>
        <w:t>本项目报总价，报价包含完成本项目服务期间所产生的一切费用（含验收费用）。</w:t>
      </w:r>
    </w:p>
    <w:p>
      <w:pPr>
        <w:rPr>
          <w:b/>
          <w:bCs/>
          <w:sz w:val="28"/>
          <w:szCs w:val="24"/>
          <w:highlight w:val="none"/>
        </w:rPr>
      </w:pPr>
      <w:bookmarkStart w:id="140" w:name="_Toc53217160"/>
      <w:r>
        <w:rPr>
          <w:rFonts w:hint="eastAsia"/>
          <w:b/>
          <w:bCs/>
          <w:sz w:val="28"/>
          <w:szCs w:val="24"/>
          <w:highlight w:val="none"/>
        </w:rPr>
        <w:t>八、人员配备</w:t>
      </w:r>
      <w:bookmarkEnd w:id="140"/>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成交供应商需根据测评业务系统的数量自行评估并配置测评实施团队。测评实施团队在合同约定期内派驻采购人到指定地点办公；</w:t>
      </w:r>
      <w:r>
        <w:rPr>
          <w:rFonts w:hint="eastAsia" w:ascii="宋体" w:hAnsi="宋体" w:cs="Arial"/>
          <w:sz w:val="24"/>
          <w:szCs w:val="24"/>
          <w:highlight w:val="none"/>
        </w:rPr>
        <w:t>成交供应商</w:t>
      </w:r>
      <w:r>
        <w:rPr>
          <w:rFonts w:hint="eastAsia" w:ascii="宋体" w:hAnsi="宋体"/>
          <w:sz w:val="24"/>
          <w:szCs w:val="24"/>
          <w:highlight w:val="none"/>
        </w:rPr>
        <w:t>需保证在实施阶段主要技术人员必须是</w:t>
      </w:r>
      <w:r>
        <w:rPr>
          <w:rFonts w:hint="eastAsia" w:ascii="宋体" w:hAnsi="宋体"/>
          <w:sz w:val="24"/>
          <w:szCs w:val="24"/>
          <w:highlight w:val="none"/>
        </w:rPr>
        <w:t>全职</w:t>
      </w:r>
      <w:r>
        <w:rPr>
          <w:rFonts w:hint="eastAsia" w:ascii="宋体" w:hAnsi="宋体"/>
          <w:sz w:val="24"/>
          <w:szCs w:val="24"/>
          <w:highlight w:val="none"/>
        </w:rPr>
        <w:t>驻点。</w:t>
      </w:r>
    </w:p>
    <w:p>
      <w:pPr>
        <w:rPr>
          <w:b/>
          <w:bCs/>
          <w:sz w:val="28"/>
          <w:szCs w:val="24"/>
          <w:highlight w:val="none"/>
        </w:rPr>
      </w:pPr>
      <w:bookmarkStart w:id="141" w:name="_Toc53217161"/>
      <w:r>
        <w:rPr>
          <w:rFonts w:hint="eastAsia"/>
          <w:b/>
          <w:bCs/>
          <w:sz w:val="28"/>
          <w:szCs w:val="24"/>
          <w:highlight w:val="none"/>
        </w:rPr>
        <w:t>九、验收标准</w:t>
      </w:r>
      <w:bookmarkEnd w:id="141"/>
    </w:p>
    <w:p>
      <w:pPr>
        <w:spacing w:line="360" w:lineRule="auto"/>
        <w:ind w:firstLine="360" w:firstLineChars="150"/>
        <w:rPr>
          <w:rFonts w:ascii="宋体" w:hAnsi="宋体"/>
          <w:sz w:val="24"/>
          <w:szCs w:val="24"/>
          <w:highlight w:val="none"/>
        </w:rPr>
      </w:pPr>
      <w:r>
        <w:rPr>
          <w:rFonts w:ascii="宋体" w:hAnsi="宋体" w:cs="Arial"/>
          <w:sz w:val="24"/>
          <w:szCs w:val="24"/>
          <w:highlight w:val="none"/>
        </w:rPr>
        <w:t>(1)</w:t>
      </w:r>
      <w:r>
        <w:rPr>
          <w:rFonts w:hint="eastAsia" w:ascii="宋体" w:hAnsi="宋体" w:cs="Arial"/>
          <w:sz w:val="24"/>
          <w:szCs w:val="24"/>
          <w:highlight w:val="none"/>
        </w:rPr>
        <w:t>成交供应商按</w:t>
      </w:r>
      <w:bookmarkStart w:id="142" w:name="_Hlk87128809"/>
      <w:r>
        <w:rPr>
          <w:rFonts w:hint="eastAsia" w:ascii="宋体" w:hAnsi="宋体" w:cs="Arial"/>
          <w:sz w:val="24"/>
          <w:szCs w:val="24"/>
          <w:highlight w:val="none"/>
        </w:rPr>
        <w:t>网络安全等级保护2</w:t>
      </w:r>
      <w:r>
        <w:rPr>
          <w:rFonts w:ascii="宋体" w:hAnsi="宋体" w:cs="Arial"/>
          <w:sz w:val="24"/>
          <w:szCs w:val="24"/>
          <w:highlight w:val="none"/>
        </w:rPr>
        <w:t>.0</w:t>
      </w:r>
      <w:bookmarkEnd w:id="142"/>
      <w:r>
        <w:rPr>
          <w:rFonts w:hint="eastAsia" w:ascii="宋体" w:hAnsi="宋体" w:cs="Arial"/>
          <w:sz w:val="24"/>
          <w:szCs w:val="24"/>
          <w:highlight w:val="none"/>
        </w:rPr>
        <w:t>要求</w:t>
      </w:r>
      <w:r>
        <w:rPr>
          <w:rFonts w:hint="eastAsia" w:ascii="宋体" w:hAnsi="宋体" w:cs="Arial"/>
          <w:sz w:val="24"/>
          <w:szCs w:val="24"/>
          <w:highlight w:val="none"/>
        </w:rPr>
        <w:t>，完成规定工作内容，提供相关过程文档，</w:t>
      </w:r>
      <w:r>
        <w:rPr>
          <w:rFonts w:hint="eastAsia" w:ascii="宋体" w:hAnsi="宋体"/>
          <w:sz w:val="24"/>
          <w:szCs w:val="24"/>
          <w:highlight w:val="none"/>
        </w:rPr>
        <w:t>能够按照</w:t>
      </w:r>
      <w:r>
        <w:rPr>
          <w:rFonts w:hint="eastAsia" w:ascii="宋体" w:hAnsi="宋体"/>
          <w:sz w:val="24"/>
          <w:szCs w:val="24"/>
          <w:highlight w:val="none"/>
        </w:rPr>
        <w:t>网络安全等级保护2.0标准</w:t>
      </w:r>
      <w:r>
        <w:rPr>
          <w:rFonts w:hint="eastAsia" w:ascii="宋体" w:hAnsi="宋体"/>
          <w:sz w:val="24"/>
          <w:szCs w:val="24"/>
          <w:highlight w:val="none"/>
        </w:rPr>
        <w:t>出具符合标准要求的测评报告。</w:t>
      </w:r>
    </w:p>
    <w:p>
      <w:pPr>
        <w:spacing w:line="360" w:lineRule="auto"/>
        <w:ind w:firstLine="480" w:firstLineChars="200"/>
        <w:rPr>
          <w:rFonts w:ascii="宋体" w:hAnsi="宋体" w:cs="宋体"/>
          <w:b/>
          <w:szCs w:val="21"/>
          <w:highlight w:val="none"/>
        </w:rPr>
      </w:pPr>
      <w:r>
        <w:rPr>
          <w:rFonts w:ascii="宋体" w:hAnsi="宋体" w:cs="Arial"/>
          <w:sz w:val="24"/>
          <w:szCs w:val="24"/>
          <w:highlight w:val="none"/>
        </w:rPr>
        <w:t>(2)</w:t>
      </w:r>
      <w:r>
        <w:rPr>
          <w:rFonts w:hint="eastAsia" w:ascii="宋体" w:hAnsi="宋体" w:cs="Arial"/>
          <w:sz w:val="24"/>
          <w:szCs w:val="24"/>
          <w:highlight w:val="none"/>
        </w:rPr>
        <w:t>成交供应商按招标文件要求，完成安全服务规定的工作内容，提供相关过程文档，能够出具</w:t>
      </w:r>
      <w:r>
        <w:rPr>
          <w:rFonts w:ascii="宋体" w:hAnsi="宋体" w:cs="Arial"/>
          <w:sz w:val="24"/>
          <w:szCs w:val="24"/>
          <w:highlight w:val="none"/>
        </w:rPr>
        <w:t>安庆职业技术学院</w:t>
      </w:r>
      <w:r>
        <w:rPr>
          <w:rFonts w:hint="eastAsia" w:ascii="宋体" w:hAnsi="宋体" w:cs="Arial"/>
          <w:sz w:val="24"/>
          <w:szCs w:val="24"/>
          <w:highlight w:val="none"/>
        </w:rPr>
        <w:t>认可的结果报告。</w:t>
      </w:r>
    </w:p>
    <w:p>
      <w:pPr>
        <w:adjustRightInd w:val="0"/>
        <w:snapToGrid w:val="0"/>
        <w:spacing w:line="360" w:lineRule="auto"/>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59"/>
        <w:ind w:firstLine="480"/>
        <w:rPr>
          <w:rFonts w:ascii="宋体" w:cs="宋体"/>
          <w:sz w:val="24"/>
          <w:szCs w:val="24"/>
          <w:highlight w:val="none"/>
        </w:rPr>
      </w:pPr>
    </w:p>
    <w:p>
      <w:pPr>
        <w:pStyle w:val="2"/>
        <w:keepNext w:val="0"/>
        <w:pageBreakBefore/>
        <w:tabs>
          <w:tab w:val="clear" w:pos="1440"/>
          <w:tab w:val="clear" w:pos="5670"/>
        </w:tabs>
        <w:spacing w:beforeLines="0" w:afterLines="0"/>
        <w:ind w:firstLine="0" w:firstLineChars="0"/>
        <w:jc w:val="center"/>
        <w:rPr>
          <w:rFonts w:ascii="宋体" w:eastAsia="宋体" w:cs="宋体"/>
          <w:highlight w:val="none"/>
        </w:rPr>
      </w:pPr>
      <w:bookmarkStart w:id="143" w:name="_Toc15663"/>
      <w:r>
        <w:rPr>
          <w:rFonts w:hint="eastAsia" w:ascii="Arial" w:hAnsi="Arial"/>
          <w:kern w:val="2"/>
          <w:sz w:val="32"/>
          <w:szCs w:val="32"/>
          <w:highlight w:val="none"/>
        </w:rPr>
        <w:t>第四章</w:t>
      </w:r>
      <w:r>
        <w:rPr>
          <w:rFonts w:ascii="Arial" w:hAnsi="Arial"/>
          <w:kern w:val="2"/>
          <w:sz w:val="32"/>
          <w:szCs w:val="32"/>
          <w:highlight w:val="none"/>
        </w:rPr>
        <w:t xml:space="preserve">     </w:t>
      </w:r>
      <w:bookmarkStart w:id="144" w:name="_Toc476584431"/>
      <w:bookmarkStart w:id="145" w:name="_Toc10479"/>
      <w:r>
        <w:rPr>
          <w:rFonts w:hint="eastAsia" w:ascii="Arial" w:hAnsi="Arial"/>
          <w:kern w:val="2"/>
          <w:sz w:val="32"/>
          <w:szCs w:val="32"/>
          <w:highlight w:val="none"/>
        </w:rPr>
        <w:t>合同主要条款</w:t>
      </w:r>
      <w:bookmarkEnd w:id="143"/>
      <w:bookmarkEnd w:id="144"/>
      <w:bookmarkEnd w:id="145"/>
    </w:p>
    <w:p>
      <w:pPr>
        <w:tabs>
          <w:tab w:val="left" w:pos="3640"/>
        </w:tabs>
        <w:autoSpaceDE w:val="0"/>
        <w:autoSpaceDN w:val="0"/>
        <w:spacing w:line="360" w:lineRule="auto"/>
        <w:rPr>
          <w:rFonts w:ascii="宋体" w:cs="宋体"/>
          <w:szCs w:val="21"/>
          <w:highlight w:val="none"/>
          <w:u w:val="single"/>
        </w:rPr>
      </w:pPr>
      <w:r>
        <w:rPr>
          <w:rFonts w:hint="eastAsia" w:ascii="宋体" w:hAnsi="宋体" w:cs="宋体"/>
          <w:szCs w:val="21"/>
          <w:highlight w:val="none"/>
        </w:rPr>
        <w:t>买方（采购人）：</w:t>
      </w:r>
      <w:r>
        <w:rPr>
          <w:rFonts w:ascii="宋体" w:hAnsi="宋体" w:cs="宋体"/>
          <w:szCs w:val="21"/>
          <w:highlight w:val="none"/>
          <w:u w:val="single"/>
        </w:rPr>
        <w:t xml:space="preserve">                           </w:t>
      </w:r>
    </w:p>
    <w:p>
      <w:pPr>
        <w:tabs>
          <w:tab w:val="left" w:pos="3640"/>
        </w:tabs>
        <w:autoSpaceDE w:val="0"/>
        <w:autoSpaceDN w:val="0"/>
        <w:spacing w:line="360" w:lineRule="auto"/>
        <w:rPr>
          <w:rFonts w:ascii="宋体" w:cs="宋体"/>
          <w:szCs w:val="21"/>
          <w:highlight w:val="none"/>
          <w:u w:val="single"/>
        </w:rPr>
      </w:pPr>
      <w:r>
        <w:rPr>
          <w:rFonts w:hint="eastAsia" w:ascii="宋体" w:hAnsi="宋体" w:cs="宋体"/>
          <w:szCs w:val="21"/>
          <w:highlight w:val="none"/>
        </w:rPr>
        <w:t>卖方（供应商）：</w:t>
      </w:r>
      <w:r>
        <w:rPr>
          <w:rFonts w:ascii="宋体" w:hAnsi="宋体" w:cs="宋体"/>
          <w:szCs w:val="21"/>
          <w:highlight w:val="none"/>
          <w:u w:val="single"/>
        </w:rPr>
        <w:t xml:space="preserve">                           </w:t>
      </w:r>
    </w:p>
    <w:p>
      <w:pPr>
        <w:tabs>
          <w:tab w:val="left" w:pos="3640"/>
        </w:tabs>
        <w:autoSpaceDE w:val="0"/>
        <w:autoSpaceDN w:val="0"/>
        <w:spacing w:line="360" w:lineRule="auto"/>
        <w:ind w:firstLine="420" w:firstLineChars="200"/>
        <w:rPr>
          <w:rFonts w:ascii="宋体" w:cs="宋体"/>
          <w:szCs w:val="21"/>
          <w:highlight w:val="none"/>
        </w:rPr>
      </w:pPr>
      <w:r>
        <w:rPr>
          <w:rFonts w:hint="eastAsia" w:ascii="宋体" w:hAnsi="宋体" w:cs="宋体"/>
          <w:szCs w:val="21"/>
          <w:highlight w:val="none"/>
        </w:rPr>
        <w:t>根据《中华人民共和国民法典》及</w:t>
      </w:r>
      <w:r>
        <w:rPr>
          <w:rFonts w:ascii="宋体" w:hAnsi="宋体" w:cs="宋体"/>
          <w:szCs w:val="21"/>
          <w:highlight w:val="none"/>
          <w:u w:val="single"/>
        </w:rPr>
        <w:t xml:space="preserve">                                </w:t>
      </w:r>
      <w:r>
        <w:rPr>
          <w:rFonts w:hint="eastAsia" w:ascii="宋体" w:hAnsi="宋体" w:cs="宋体"/>
          <w:szCs w:val="21"/>
          <w:highlight w:val="none"/>
        </w:rPr>
        <w:t>磋商文件，买、卖双方经协商一致，签订如下合同条款，并共同遵守。</w:t>
      </w:r>
    </w:p>
    <w:p>
      <w:pPr>
        <w:numPr>
          <w:ilvl w:val="0"/>
          <w:numId w:val="12"/>
        </w:numPr>
        <w:tabs>
          <w:tab w:val="left" w:pos="3640"/>
        </w:tabs>
        <w:autoSpaceDE w:val="0"/>
        <w:autoSpaceDN w:val="0"/>
        <w:spacing w:line="360" w:lineRule="auto"/>
        <w:ind w:firstLine="422" w:firstLineChars="200"/>
        <w:rPr>
          <w:rFonts w:ascii="宋体" w:cs="宋体"/>
          <w:b/>
          <w:spacing w:val="8"/>
          <w:szCs w:val="21"/>
          <w:highlight w:val="none"/>
        </w:rPr>
      </w:pPr>
      <w:r>
        <w:rPr>
          <w:rFonts w:hint="eastAsia" w:ascii="宋体" w:hAnsi="宋体" w:cs="宋体"/>
          <w:b/>
          <w:szCs w:val="21"/>
          <w:highlight w:val="none"/>
        </w:rPr>
        <w:t>服务内容</w:t>
      </w:r>
    </w:p>
    <w:p>
      <w:pPr>
        <w:tabs>
          <w:tab w:val="left" w:pos="3640"/>
        </w:tabs>
        <w:autoSpaceDE w:val="0"/>
        <w:autoSpaceDN w:val="0"/>
        <w:spacing w:line="360" w:lineRule="auto"/>
        <w:ind w:left="422"/>
        <w:rPr>
          <w:rFonts w:ascii="宋体" w:cs="宋体"/>
          <w:b/>
          <w:spacing w:val="8"/>
          <w:szCs w:val="21"/>
          <w:highlight w:val="none"/>
        </w:rPr>
      </w:pPr>
      <w:r>
        <w:rPr>
          <w:rFonts w:hint="eastAsia" w:ascii="宋体" w:hAnsi="宋体" w:cs="宋体"/>
          <w:b/>
          <w:szCs w:val="21"/>
          <w:highlight w:val="none"/>
        </w:rPr>
        <w:t>服务内容：</w:t>
      </w:r>
    </w:p>
    <w:p>
      <w:pPr>
        <w:tabs>
          <w:tab w:val="left" w:pos="3640"/>
        </w:tabs>
        <w:autoSpaceDE w:val="0"/>
        <w:autoSpaceDN w:val="0"/>
        <w:spacing w:line="360" w:lineRule="auto"/>
        <w:ind w:left="422"/>
        <w:rPr>
          <w:rFonts w:ascii="宋体" w:cs="宋体"/>
          <w:b/>
          <w:spacing w:val="8"/>
          <w:szCs w:val="21"/>
          <w:highlight w:val="none"/>
        </w:rPr>
      </w:pPr>
      <w:r>
        <w:rPr>
          <w:rFonts w:hint="eastAsia" w:ascii="宋体" w:hAnsi="宋体" w:cs="宋体"/>
          <w:b/>
          <w:szCs w:val="21"/>
          <w:highlight w:val="none"/>
        </w:rPr>
        <w:t>合同金额：</w:t>
      </w:r>
    </w:p>
    <w:p>
      <w:pPr>
        <w:tabs>
          <w:tab w:val="left" w:pos="3640"/>
        </w:tabs>
        <w:autoSpaceDE w:val="0"/>
        <w:autoSpaceDN w:val="0"/>
        <w:spacing w:line="360" w:lineRule="auto"/>
        <w:ind w:firstLine="422" w:firstLineChars="200"/>
        <w:rPr>
          <w:rFonts w:ascii="宋体" w:cs="宋体"/>
          <w:szCs w:val="21"/>
          <w:highlight w:val="none"/>
        </w:rPr>
      </w:pPr>
      <w:r>
        <w:rPr>
          <w:rFonts w:hint="eastAsia" w:ascii="宋体" w:hAnsi="宋体" w:cs="宋体"/>
          <w:b/>
          <w:szCs w:val="21"/>
          <w:highlight w:val="none"/>
        </w:rPr>
        <w:t>二、服务期：</w:t>
      </w:r>
    </w:p>
    <w:p>
      <w:pPr>
        <w:tabs>
          <w:tab w:val="left" w:pos="3640"/>
        </w:tabs>
        <w:autoSpaceDE w:val="0"/>
        <w:autoSpaceDN w:val="0"/>
        <w:spacing w:line="360" w:lineRule="auto"/>
        <w:ind w:firstLine="422" w:firstLineChars="200"/>
        <w:rPr>
          <w:rFonts w:ascii="宋体" w:cs="宋体"/>
          <w:b/>
          <w:bCs/>
          <w:szCs w:val="21"/>
          <w:highlight w:val="none"/>
        </w:rPr>
      </w:pPr>
      <w:r>
        <w:rPr>
          <w:rFonts w:hint="eastAsia" w:ascii="宋体" w:hAnsi="宋体" w:cs="宋体"/>
          <w:b/>
          <w:bCs/>
          <w:szCs w:val="21"/>
          <w:highlight w:val="none"/>
        </w:rPr>
        <w:t>三、服务人员配备：</w:t>
      </w:r>
    </w:p>
    <w:p>
      <w:pPr>
        <w:tabs>
          <w:tab w:val="left" w:pos="3640"/>
        </w:tabs>
        <w:autoSpaceDE w:val="0"/>
        <w:autoSpaceDN w:val="0"/>
        <w:spacing w:line="360" w:lineRule="auto"/>
        <w:ind w:firstLine="422" w:firstLineChars="200"/>
        <w:rPr>
          <w:rFonts w:ascii="宋体" w:cs="宋体"/>
          <w:b/>
          <w:szCs w:val="21"/>
          <w:highlight w:val="none"/>
        </w:rPr>
      </w:pPr>
      <w:r>
        <w:rPr>
          <w:rFonts w:hint="eastAsia" w:ascii="宋体" w:hAnsi="宋体" w:cs="宋体"/>
          <w:b/>
          <w:szCs w:val="21"/>
          <w:highlight w:val="none"/>
        </w:rPr>
        <w:t>四、服务地点：</w:t>
      </w:r>
    </w:p>
    <w:p>
      <w:pPr>
        <w:tabs>
          <w:tab w:val="left" w:pos="3640"/>
        </w:tabs>
        <w:autoSpaceDE w:val="0"/>
        <w:autoSpaceDN w:val="0"/>
        <w:spacing w:line="360" w:lineRule="auto"/>
        <w:ind w:firstLine="422" w:firstLineChars="200"/>
        <w:rPr>
          <w:rFonts w:ascii="宋体" w:cs="宋体"/>
          <w:b/>
          <w:highlight w:val="none"/>
        </w:rPr>
      </w:pPr>
      <w:r>
        <w:rPr>
          <w:rFonts w:hint="eastAsia" w:ascii="宋体" w:hAnsi="宋体" w:cs="宋体"/>
          <w:b/>
          <w:szCs w:val="21"/>
          <w:highlight w:val="none"/>
        </w:rPr>
        <w:t>五、</w:t>
      </w:r>
      <w:r>
        <w:rPr>
          <w:rFonts w:hint="eastAsia" w:ascii="宋体" w:hAnsi="宋体" w:cs="宋体"/>
          <w:b/>
          <w:highlight w:val="none"/>
        </w:rPr>
        <w:t>验收：</w:t>
      </w:r>
    </w:p>
    <w:p>
      <w:pPr>
        <w:spacing w:line="360" w:lineRule="auto"/>
        <w:ind w:firstLine="422" w:firstLineChars="200"/>
        <w:rPr>
          <w:rFonts w:ascii="宋体" w:cs="宋体"/>
          <w:b/>
          <w:szCs w:val="21"/>
          <w:highlight w:val="none"/>
        </w:rPr>
      </w:pPr>
      <w:r>
        <w:rPr>
          <w:rFonts w:hint="eastAsia" w:ascii="宋体" w:hAnsi="宋体" w:cs="宋体"/>
          <w:b/>
          <w:szCs w:val="21"/>
          <w:highlight w:val="none"/>
        </w:rPr>
        <w:t>六、付款方式：</w:t>
      </w:r>
    </w:p>
    <w:p>
      <w:pPr>
        <w:spacing w:line="360" w:lineRule="auto"/>
        <w:ind w:firstLine="422" w:firstLineChars="200"/>
        <w:rPr>
          <w:rFonts w:ascii="宋体" w:cs="宋体"/>
          <w:b/>
          <w:szCs w:val="21"/>
          <w:highlight w:val="none"/>
        </w:rPr>
      </w:pPr>
      <w:r>
        <w:rPr>
          <w:rFonts w:hint="eastAsia" w:ascii="宋体" w:hAnsi="宋体" w:cs="宋体"/>
          <w:b/>
          <w:szCs w:val="21"/>
          <w:highlight w:val="none"/>
        </w:rPr>
        <w:t>七、违约责任</w:t>
      </w:r>
    </w:p>
    <w:p>
      <w:pPr>
        <w:tabs>
          <w:tab w:val="left" w:pos="3640"/>
        </w:tabs>
        <w:autoSpaceDE w:val="0"/>
        <w:autoSpaceDN w:val="0"/>
        <w:spacing w:line="360" w:lineRule="auto"/>
        <w:ind w:firstLine="452" w:firstLineChars="200"/>
        <w:rPr>
          <w:rFonts w:ascii="宋体" w:cs="宋体"/>
          <w:b/>
          <w:szCs w:val="21"/>
          <w:highlight w:val="none"/>
        </w:rPr>
      </w:pPr>
      <w:r>
        <w:rPr>
          <w:rFonts w:ascii="宋体" w:hAnsi="宋体" w:cs="宋体"/>
          <w:spacing w:val="8"/>
          <w:szCs w:val="21"/>
          <w:highlight w:val="none"/>
        </w:rPr>
        <w:t>1</w:t>
      </w:r>
      <w:r>
        <w:rPr>
          <w:rFonts w:hint="eastAsia" w:ascii="宋体" w:hAnsi="宋体" w:cs="宋体"/>
          <w:spacing w:val="8"/>
          <w:szCs w:val="21"/>
          <w:highlight w:val="none"/>
        </w:rPr>
        <w:t>、买方</w:t>
      </w:r>
      <w:r>
        <w:rPr>
          <w:rFonts w:hint="eastAsia" w:ascii="宋体" w:hAnsi="宋体" w:cs="宋体"/>
          <w:szCs w:val="21"/>
          <w:highlight w:val="none"/>
        </w:rPr>
        <w:t>（采购人）</w:t>
      </w:r>
      <w:r>
        <w:rPr>
          <w:rFonts w:hint="eastAsia" w:ascii="宋体" w:hAnsi="宋体" w:cs="宋体"/>
          <w:spacing w:val="8"/>
          <w:szCs w:val="21"/>
          <w:highlight w:val="none"/>
        </w:rPr>
        <w:t>无正当理由拒绝接受服务，买方向卖方偿付合同价的</w:t>
      </w:r>
      <w:r>
        <w:rPr>
          <w:rFonts w:ascii="宋体" w:hAnsi="宋体" w:cs="宋体"/>
          <w:spacing w:val="8"/>
          <w:szCs w:val="21"/>
          <w:highlight w:val="none"/>
          <w:u w:val="single"/>
        </w:rPr>
        <w:t xml:space="preserve">     </w:t>
      </w:r>
      <w:r>
        <w:rPr>
          <w:rFonts w:hint="eastAsia" w:ascii="宋体" w:hAnsi="宋体" w:cs="宋体"/>
          <w:spacing w:val="8"/>
          <w:szCs w:val="21"/>
          <w:highlight w:val="none"/>
        </w:rPr>
        <w:t>％的违约金；</w:t>
      </w:r>
    </w:p>
    <w:p>
      <w:pPr>
        <w:tabs>
          <w:tab w:val="left" w:pos="3640"/>
        </w:tabs>
        <w:autoSpaceDE w:val="0"/>
        <w:autoSpaceDN w:val="0"/>
        <w:spacing w:line="360" w:lineRule="auto"/>
        <w:ind w:firstLine="452" w:firstLineChars="200"/>
        <w:rPr>
          <w:rFonts w:ascii="宋体" w:cs="宋体"/>
          <w:b/>
          <w:szCs w:val="21"/>
          <w:highlight w:val="none"/>
        </w:rPr>
      </w:pPr>
      <w:r>
        <w:rPr>
          <w:rFonts w:ascii="宋体" w:hAnsi="宋体" w:cs="宋体"/>
          <w:spacing w:val="8"/>
          <w:szCs w:val="21"/>
          <w:highlight w:val="none"/>
        </w:rPr>
        <w:t>2</w:t>
      </w:r>
      <w:r>
        <w:rPr>
          <w:rFonts w:hint="eastAsia" w:ascii="宋体" w:hAnsi="宋体" w:cs="宋体"/>
          <w:spacing w:val="8"/>
          <w:szCs w:val="21"/>
          <w:highlight w:val="none"/>
        </w:rPr>
        <w:t>、买方</w:t>
      </w:r>
      <w:r>
        <w:rPr>
          <w:rFonts w:hint="eastAsia" w:ascii="宋体" w:hAnsi="宋体" w:cs="宋体"/>
          <w:szCs w:val="21"/>
          <w:highlight w:val="none"/>
        </w:rPr>
        <w:t>（采购人）</w:t>
      </w:r>
      <w:r>
        <w:rPr>
          <w:rFonts w:hint="eastAsia" w:ascii="宋体" w:hAnsi="宋体" w:cs="宋体"/>
          <w:spacing w:val="8"/>
          <w:szCs w:val="21"/>
          <w:highlight w:val="none"/>
        </w:rPr>
        <w:t>无正当理由逾期付款的，买方向卖方每日偿付合同价的</w:t>
      </w:r>
      <w:r>
        <w:rPr>
          <w:rFonts w:ascii="宋体" w:hAnsi="宋体" w:cs="宋体"/>
          <w:spacing w:val="8"/>
          <w:szCs w:val="21"/>
          <w:highlight w:val="none"/>
          <w:u w:val="single"/>
        </w:rPr>
        <w:t xml:space="preserve">     </w:t>
      </w:r>
      <w:r>
        <w:rPr>
          <w:rFonts w:hint="eastAsia" w:ascii="宋体" w:hAnsi="宋体" w:cs="宋体"/>
          <w:spacing w:val="8"/>
          <w:szCs w:val="21"/>
          <w:highlight w:val="none"/>
        </w:rPr>
        <w:t>‰的违约金；</w:t>
      </w:r>
    </w:p>
    <w:p>
      <w:pPr>
        <w:tabs>
          <w:tab w:val="left" w:pos="3640"/>
        </w:tabs>
        <w:autoSpaceDE w:val="0"/>
        <w:autoSpaceDN w:val="0"/>
        <w:spacing w:line="360" w:lineRule="auto"/>
        <w:ind w:firstLine="452" w:firstLineChars="200"/>
        <w:rPr>
          <w:rFonts w:ascii="宋体" w:cs="宋体"/>
          <w:b/>
          <w:szCs w:val="21"/>
          <w:highlight w:val="none"/>
        </w:rPr>
      </w:pPr>
      <w:r>
        <w:rPr>
          <w:rFonts w:ascii="宋体" w:hAnsi="宋体" w:cs="宋体"/>
          <w:spacing w:val="8"/>
          <w:szCs w:val="21"/>
          <w:highlight w:val="none"/>
        </w:rPr>
        <w:t>3</w:t>
      </w:r>
      <w:r>
        <w:rPr>
          <w:rFonts w:hint="eastAsia" w:ascii="宋体" w:hAnsi="宋体" w:cs="宋体"/>
          <w:spacing w:val="8"/>
          <w:szCs w:val="21"/>
          <w:highlight w:val="none"/>
        </w:rPr>
        <w:t>、卖方</w:t>
      </w:r>
      <w:r>
        <w:rPr>
          <w:rFonts w:hint="eastAsia" w:ascii="宋体" w:hAnsi="宋体" w:cs="宋体"/>
          <w:szCs w:val="21"/>
          <w:highlight w:val="none"/>
        </w:rPr>
        <w:t>（供应商）</w:t>
      </w:r>
      <w:r>
        <w:rPr>
          <w:rFonts w:hint="eastAsia" w:ascii="宋体" w:hAnsi="宋体" w:cs="宋体"/>
          <w:spacing w:val="8"/>
          <w:szCs w:val="21"/>
          <w:highlight w:val="none"/>
        </w:rPr>
        <w:t>不能提供服务的，卖方向买方支付合同价的</w:t>
      </w:r>
      <w:r>
        <w:rPr>
          <w:rFonts w:ascii="宋体" w:hAnsi="宋体" w:cs="宋体"/>
          <w:spacing w:val="8"/>
          <w:szCs w:val="21"/>
          <w:highlight w:val="none"/>
          <w:u w:val="single"/>
        </w:rPr>
        <w:t xml:space="preserve">      </w:t>
      </w:r>
      <w:r>
        <w:rPr>
          <w:rFonts w:hint="eastAsia" w:ascii="宋体" w:hAnsi="宋体" w:cs="宋体"/>
          <w:spacing w:val="8"/>
          <w:szCs w:val="21"/>
          <w:highlight w:val="none"/>
        </w:rPr>
        <w:t>％的违约金；</w:t>
      </w:r>
    </w:p>
    <w:p>
      <w:pPr>
        <w:tabs>
          <w:tab w:val="left" w:pos="3640"/>
        </w:tabs>
        <w:autoSpaceDE w:val="0"/>
        <w:autoSpaceDN w:val="0"/>
        <w:spacing w:line="360" w:lineRule="auto"/>
        <w:ind w:firstLine="452" w:firstLineChars="200"/>
        <w:rPr>
          <w:rFonts w:ascii="宋体" w:cs="宋体"/>
          <w:b/>
          <w:szCs w:val="21"/>
          <w:highlight w:val="none"/>
        </w:rPr>
      </w:pPr>
      <w:r>
        <w:rPr>
          <w:rFonts w:ascii="宋体" w:hAnsi="宋体" w:cs="宋体"/>
          <w:spacing w:val="8"/>
          <w:szCs w:val="21"/>
          <w:highlight w:val="none"/>
        </w:rPr>
        <w:t>4</w:t>
      </w:r>
      <w:r>
        <w:rPr>
          <w:rFonts w:hint="eastAsia" w:ascii="宋体" w:hAnsi="宋体" w:cs="宋体"/>
          <w:spacing w:val="8"/>
          <w:szCs w:val="21"/>
          <w:highlight w:val="none"/>
        </w:rPr>
        <w:t>、卖方</w:t>
      </w:r>
      <w:r>
        <w:rPr>
          <w:rFonts w:hint="eastAsia" w:ascii="宋体" w:hAnsi="宋体" w:cs="宋体"/>
          <w:szCs w:val="21"/>
          <w:highlight w:val="none"/>
        </w:rPr>
        <w:t>（供应商）</w:t>
      </w:r>
      <w:r>
        <w:rPr>
          <w:rFonts w:hint="eastAsia" w:ascii="宋体" w:hAnsi="宋体" w:cs="宋体"/>
          <w:spacing w:val="8"/>
          <w:szCs w:val="21"/>
          <w:highlight w:val="none"/>
        </w:rPr>
        <w:t>逾期提供服务的，卖方向买方每日偿付合同价的</w:t>
      </w:r>
      <w:r>
        <w:rPr>
          <w:rFonts w:ascii="宋体" w:hAnsi="宋体" w:cs="宋体"/>
          <w:spacing w:val="8"/>
          <w:szCs w:val="21"/>
          <w:highlight w:val="none"/>
          <w:u w:val="single"/>
        </w:rPr>
        <w:t xml:space="preserve">      </w:t>
      </w:r>
      <w:r>
        <w:rPr>
          <w:rFonts w:hint="eastAsia" w:ascii="宋体" w:hAnsi="宋体" w:cs="宋体"/>
          <w:spacing w:val="8"/>
          <w:szCs w:val="21"/>
          <w:highlight w:val="none"/>
        </w:rPr>
        <w:t>‰的违约金。</w:t>
      </w:r>
    </w:p>
    <w:p>
      <w:pPr>
        <w:spacing w:line="360" w:lineRule="auto"/>
        <w:ind w:left="-178" w:leftChars="-85" w:firstLine="583" w:firstLineChars="257"/>
        <w:rPr>
          <w:rFonts w:ascii="宋体" w:cs="宋体"/>
          <w:b/>
          <w:spacing w:val="8"/>
          <w:szCs w:val="21"/>
          <w:highlight w:val="none"/>
        </w:rPr>
      </w:pPr>
      <w:r>
        <w:rPr>
          <w:rFonts w:hint="eastAsia" w:ascii="宋体" w:hAnsi="宋体" w:cs="宋体"/>
          <w:b/>
          <w:spacing w:val="8"/>
          <w:szCs w:val="21"/>
          <w:highlight w:val="none"/>
        </w:rPr>
        <w:t>八、解决合同纠纷方式</w:t>
      </w:r>
    </w:p>
    <w:p>
      <w:pPr>
        <w:spacing w:line="360" w:lineRule="auto"/>
        <w:ind w:left="-178" w:leftChars="-85" w:firstLine="580" w:firstLineChars="257"/>
        <w:rPr>
          <w:rFonts w:ascii="宋体" w:hAnsi="宋体" w:cs="宋体"/>
          <w:spacing w:val="8"/>
          <w:szCs w:val="21"/>
          <w:highlight w:val="none"/>
        </w:rPr>
      </w:pPr>
      <w:r>
        <w:rPr>
          <w:rFonts w:hint="eastAsia" w:ascii="宋体" w:hAnsi="宋体" w:cs="宋体"/>
          <w:spacing w:val="8"/>
          <w:szCs w:val="21"/>
          <w:highlight w:val="none"/>
        </w:rPr>
        <w:t>本合同如发生纠纷，买卖双方应当及时协商解决，协商不成时，按以下第（</w:t>
      </w:r>
      <w:r>
        <w:rPr>
          <w:rFonts w:hint="eastAsia" w:ascii="宋体" w:hAnsi="宋体"/>
          <w:spacing w:val="8"/>
          <w:szCs w:val="21"/>
          <w:highlight w:val="none"/>
        </w:rPr>
        <w:t>①</w:t>
      </w:r>
      <w:r>
        <w:rPr>
          <w:rFonts w:hint="eastAsia" w:ascii="宋体" w:hAnsi="宋体" w:cs="宋体"/>
          <w:spacing w:val="8"/>
          <w:szCs w:val="21"/>
          <w:highlight w:val="none"/>
        </w:rPr>
        <w:t>）项方式处理：①根据《中华人民共和国仲裁法》的规定向 安庆仲裁委员会 申请仲裁。②向________人民法院起诉。</w:t>
      </w:r>
    </w:p>
    <w:p>
      <w:pPr>
        <w:spacing w:line="360" w:lineRule="auto"/>
        <w:ind w:left="-178" w:leftChars="-85" w:firstLine="542" w:firstLineChars="257"/>
        <w:rPr>
          <w:rFonts w:ascii="宋体" w:cs="宋体"/>
          <w:b/>
          <w:spacing w:val="8"/>
          <w:szCs w:val="21"/>
          <w:highlight w:val="none"/>
        </w:rPr>
      </w:pPr>
      <w:r>
        <w:rPr>
          <w:rFonts w:hint="eastAsia" w:ascii="宋体" w:hAnsi="宋体" w:cs="宋体"/>
          <w:b/>
          <w:szCs w:val="21"/>
          <w:highlight w:val="none"/>
        </w:rPr>
        <w:t>九、本合同的其他重要组成部分：</w:t>
      </w:r>
    </w:p>
    <w:p>
      <w:pPr>
        <w:tabs>
          <w:tab w:val="left" w:pos="3640"/>
        </w:tabs>
        <w:autoSpaceDE w:val="0"/>
        <w:autoSpaceDN w:val="0"/>
        <w:spacing w:line="360" w:lineRule="auto"/>
        <w:ind w:firstLine="420" w:firstLineChars="200"/>
        <w:rPr>
          <w:rFonts w:ascii="宋体" w:cs="宋体"/>
          <w:szCs w:val="21"/>
          <w:highlight w:val="none"/>
        </w:rPr>
      </w:pPr>
      <w:r>
        <w:rPr>
          <w:rFonts w:ascii="宋体" w:hAnsi="宋体" w:cs="宋体"/>
          <w:szCs w:val="21"/>
          <w:highlight w:val="none"/>
        </w:rPr>
        <w:t>1</w:t>
      </w:r>
      <w:r>
        <w:rPr>
          <w:rFonts w:hint="eastAsia" w:ascii="宋体" w:hAnsi="宋体" w:cs="宋体"/>
          <w:szCs w:val="21"/>
          <w:highlight w:val="none"/>
        </w:rPr>
        <w:t>、磋商文件；</w:t>
      </w:r>
    </w:p>
    <w:p>
      <w:pPr>
        <w:tabs>
          <w:tab w:val="left" w:pos="3640"/>
        </w:tabs>
        <w:autoSpaceDE w:val="0"/>
        <w:autoSpaceDN w:val="0"/>
        <w:spacing w:line="360" w:lineRule="auto"/>
        <w:ind w:firstLine="420" w:firstLineChars="200"/>
        <w:rPr>
          <w:rFonts w:ascii="宋体" w:cs="宋体"/>
          <w:szCs w:val="21"/>
          <w:highlight w:val="none"/>
        </w:rPr>
      </w:pPr>
      <w:r>
        <w:rPr>
          <w:rFonts w:ascii="宋体" w:hAnsi="宋体" w:cs="宋体"/>
          <w:szCs w:val="21"/>
          <w:highlight w:val="none"/>
        </w:rPr>
        <w:t>2</w:t>
      </w:r>
      <w:r>
        <w:rPr>
          <w:rFonts w:hint="eastAsia" w:ascii="宋体" w:hAnsi="宋体" w:cs="宋体"/>
          <w:szCs w:val="21"/>
          <w:highlight w:val="none"/>
        </w:rPr>
        <w:t>、成交人的响应文件；</w:t>
      </w:r>
    </w:p>
    <w:p>
      <w:pPr>
        <w:tabs>
          <w:tab w:val="left" w:pos="3640"/>
        </w:tabs>
        <w:autoSpaceDE w:val="0"/>
        <w:autoSpaceDN w:val="0"/>
        <w:spacing w:line="360" w:lineRule="auto"/>
        <w:ind w:firstLine="420" w:firstLineChars="200"/>
        <w:rPr>
          <w:rFonts w:ascii="宋体" w:cs="宋体"/>
          <w:szCs w:val="21"/>
          <w:highlight w:val="none"/>
        </w:rPr>
      </w:pPr>
      <w:r>
        <w:rPr>
          <w:rFonts w:ascii="宋体" w:hAnsi="宋体" w:cs="宋体"/>
          <w:szCs w:val="21"/>
          <w:highlight w:val="none"/>
        </w:rPr>
        <w:t>3</w:t>
      </w:r>
      <w:r>
        <w:rPr>
          <w:rFonts w:hint="eastAsia" w:ascii="宋体" w:hAnsi="宋体" w:cs="宋体"/>
          <w:szCs w:val="21"/>
          <w:highlight w:val="none"/>
        </w:rPr>
        <w:t>、成交通知书。</w:t>
      </w:r>
    </w:p>
    <w:p>
      <w:pPr>
        <w:spacing w:line="360" w:lineRule="auto"/>
        <w:ind w:firstLine="445" w:firstLineChars="196"/>
        <w:rPr>
          <w:rFonts w:ascii="宋体" w:cs="宋体"/>
          <w:b/>
          <w:spacing w:val="8"/>
          <w:szCs w:val="21"/>
          <w:highlight w:val="none"/>
          <w:u w:val="single"/>
        </w:rPr>
      </w:pPr>
      <w:r>
        <w:rPr>
          <w:rFonts w:hint="eastAsia" w:ascii="宋体" w:hAnsi="宋体" w:cs="宋体"/>
          <w:b/>
          <w:spacing w:val="8"/>
          <w:szCs w:val="21"/>
          <w:highlight w:val="none"/>
        </w:rPr>
        <w:t>十、</w:t>
      </w:r>
      <w:r>
        <w:rPr>
          <w:rFonts w:hint="eastAsia" w:ascii="宋体" w:hAnsi="宋体" w:cs="宋体"/>
          <w:spacing w:val="8"/>
          <w:szCs w:val="21"/>
          <w:highlight w:val="none"/>
        </w:rPr>
        <w:t>其他约定事项：</w:t>
      </w:r>
      <w:r>
        <w:rPr>
          <w:rFonts w:ascii="宋体" w:hAnsi="宋体" w:cs="宋体"/>
          <w:spacing w:val="8"/>
          <w:szCs w:val="21"/>
          <w:highlight w:val="none"/>
          <w:u w:val="single"/>
        </w:rPr>
        <w:t xml:space="preserve"> </w:t>
      </w:r>
      <w:r>
        <w:rPr>
          <w:rFonts w:hint="eastAsia" w:ascii="宋体" w:hAnsi="宋体" w:cs="宋体"/>
          <w:spacing w:val="8"/>
          <w:szCs w:val="21"/>
          <w:highlight w:val="none"/>
          <w:u w:val="single"/>
        </w:rPr>
        <w:t>合同文本的组成部分的先后解释顺序为：</w:t>
      </w:r>
      <w:r>
        <w:rPr>
          <w:rFonts w:ascii="宋体" w:hAnsi="宋体" w:cs="宋体"/>
          <w:spacing w:val="8"/>
          <w:szCs w:val="21"/>
          <w:highlight w:val="none"/>
          <w:u w:val="single"/>
        </w:rPr>
        <w:t>1</w:t>
      </w:r>
      <w:r>
        <w:rPr>
          <w:rFonts w:hint="eastAsia" w:ascii="宋体" w:hAnsi="宋体" w:cs="宋体"/>
          <w:spacing w:val="8"/>
          <w:szCs w:val="21"/>
          <w:highlight w:val="none"/>
          <w:u w:val="single"/>
        </w:rPr>
        <w:t>、</w:t>
      </w:r>
      <w:r>
        <w:rPr>
          <w:rFonts w:ascii="宋体" w:hAnsi="宋体" w:cs="宋体"/>
          <w:spacing w:val="8"/>
          <w:szCs w:val="21"/>
          <w:highlight w:val="none"/>
          <w:u w:val="single"/>
        </w:rPr>
        <w:t xml:space="preserve"> </w:t>
      </w:r>
      <w:r>
        <w:rPr>
          <w:rFonts w:hint="eastAsia" w:ascii="宋体" w:hAnsi="宋体" w:cs="宋体"/>
          <w:spacing w:val="8"/>
          <w:szCs w:val="21"/>
          <w:highlight w:val="none"/>
          <w:u w:val="single"/>
        </w:rPr>
        <w:t>成交通知书；</w:t>
      </w:r>
      <w:r>
        <w:rPr>
          <w:rFonts w:ascii="宋体" w:hAnsi="宋体" w:cs="宋体"/>
          <w:spacing w:val="8"/>
          <w:szCs w:val="21"/>
          <w:highlight w:val="none"/>
          <w:u w:val="single"/>
        </w:rPr>
        <w:t>2</w:t>
      </w:r>
      <w:r>
        <w:rPr>
          <w:rFonts w:hint="eastAsia" w:ascii="宋体" w:hAnsi="宋体" w:cs="宋体"/>
          <w:spacing w:val="8"/>
          <w:szCs w:val="21"/>
          <w:highlight w:val="none"/>
          <w:u w:val="single"/>
        </w:rPr>
        <w:t>、磋商文件；</w:t>
      </w:r>
      <w:r>
        <w:rPr>
          <w:rFonts w:ascii="宋体" w:hAnsi="宋体" w:cs="宋体"/>
          <w:spacing w:val="8"/>
          <w:szCs w:val="21"/>
          <w:highlight w:val="none"/>
          <w:u w:val="single"/>
        </w:rPr>
        <w:t>3</w:t>
      </w:r>
      <w:r>
        <w:rPr>
          <w:rFonts w:hint="eastAsia" w:ascii="宋体" w:hAnsi="宋体" w:cs="宋体"/>
          <w:spacing w:val="8"/>
          <w:szCs w:val="21"/>
          <w:highlight w:val="none"/>
          <w:u w:val="single"/>
        </w:rPr>
        <w:t>、本合同文本；</w:t>
      </w:r>
      <w:r>
        <w:rPr>
          <w:rFonts w:ascii="宋体" w:hAnsi="宋体" w:cs="宋体"/>
          <w:spacing w:val="8"/>
          <w:szCs w:val="21"/>
          <w:highlight w:val="none"/>
          <w:u w:val="single"/>
        </w:rPr>
        <w:t>4</w:t>
      </w:r>
      <w:r>
        <w:rPr>
          <w:rFonts w:hint="eastAsia" w:ascii="宋体" w:hAnsi="宋体" w:cs="宋体"/>
          <w:spacing w:val="8"/>
          <w:szCs w:val="21"/>
          <w:highlight w:val="none"/>
          <w:u w:val="single"/>
        </w:rPr>
        <w:t>、成交人的响应文件；</w:t>
      </w:r>
      <w:r>
        <w:rPr>
          <w:rFonts w:ascii="宋体" w:hAnsi="宋体" w:cs="宋体"/>
          <w:spacing w:val="8"/>
          <w:szCs w:val="21"/>
          <w:highlight w:val="none"/>
          <w:u w:val="single"/>
        </w:rPr>
        <w:t>5</w:t>
      </w:r>
      <w:r>
        <w:rPr>
          <w:rFonts w:hint="eastAsia" w:ascii="宋体" w:hAnsi="宋体" w:cs="宋体"/>
          <w:spacing w:val="8"/>
          <w:szCs w:val="21"/>
          <w:highlight w:val="none"/>
          <w:u w:val="single"/>
        </w:rPr>
        <w:t>、其他补充约定事项。</w:t>
      </w:r>
      <w:r>
        <w:rPr>
          <w:rFonts w:ascii="宋体" w:hAnsi="宋体" w:cs="宋体"/>
          <w:spacing w:val="8"/>
          <w:szCs w:val="21"/>
          <w:highlight w:val="none"/>
          <w:u w:val="single"/>
        </w:rPr>
        <w:t xml:space="preserve">                    </w:t>
      </w:r>
      <w:r>
        <w:rPr>
          <w:rFonts w:ascii="宋体" w:hAnsi="宋体" w:cs="宋体"/>
          <w:b/>
          <w:spacing w:val="8"/>
          <w:szCs w:val="21"/>
          <w:highlight w:val="none"/>
          <w:u w:val="single"/>
        </w:rPr>
        <w:t xml:space="preserve">                                 </w:t>
      </w:r>
    </w:p>
    <w:p>
      <w:pPr>
        <w:spacing w:line="360" w:lineRule="auto"/>
        <w:ind w:left="-178" w:leftChars="-85" w:firstLine="177" w:firstLineChars="78"/>
        <w:rPr>
          <w:rFonts w:ascii="宋体" w:cs="宋体"/>
          <w:spacing w:val="8"/>
          <w:szCs w:val="21"/>
          <w:highlight w:val="none"/>
          <w:u w:val="single"/>
        </w:rPr>
      </w:pPr>
      <w:r>
        <w:rPr>
          <w:rFonts w:ascii="宋体" w:hAnsi="宋体" w:cs="宋体"/>
          <w:b/>
          <w:spacing w:val="8"/>
          <w:szCs w:val="21"/>
          <w:highlight w:val="none"/>
          <w:u w:val="single"/>
        </w:rPr>
        <w:t xml:space="preserve">                                                       </w:t>
      </w:r>
      <w:r>
        <w:rPr>
          <w:rFonts w:ascii="宋体" w:hAnsi="宋体" w:cs="宋体"/>
          <w:spacing w:val="8"/>
          <w:szCs w:val="21"/>
          <w:highlight w:val="none"/>
          <w:u w:val="single"/>
        </w:rPr>
        <w:t xml:space="preserve">                    </w:t>
      </w:r>
    </w:p>
    <w:p>
      <w:pPr>
        <w:spacing w:line="360" w:lineRule="auto"/>
        <w:ind w:left="-178" w:leftChars="-85" w:firstLine="176" w:firstLineChars="78"/>
        <w:rPr>
          <w:rFonts w:ascii="宋体" w:cs="宋体"/>
          <w:spacing w:val="8"/>
          <w:szCs w:val="21"/>
          <w:highlight w:val="none"/>
          <w:u w:val="single"/>
        </w:rPr>
      </w:pPr>
      <w:r>
        <w:rPr>
          <w:rFonts w:ascii="宋体" w:hAnsi="宋体" w:cs="宋体"/>
          <w:spacing w:val="8"/>
          <w:szCs w:val="21"/>
          <w:highlight w:val="none"/>
          <w:u w:val="single"/>
        </w:rPr>
        <w:t xml:space="preserve">                                                                           </w:t>
      </w:r>
    </w:p>
    <w:p>
      <w:pPr>
        <w:tabs>
          <w:tab w:val="left" w:pos="3640"/>
        </w:tabs>
        <w:autoSpaceDE w:val="0"/>
        <w:autoSpaceDN w:val="0"/>
        <w:spacing w:line="360" w:lineRule="auto"/>
        <w:ind w:firstLine="420" w:firstLineChars="200"/>
        <w:rPr>
          <w:rFonts w:ascii="宋体" w:cs="宋体"/>
          <w:szCs w:val="21"/>
          <w:highlight w:val="none"/>
        </w:rPr>
      </w:pPr>
    </w:p>
    <w:p>
      <w:pPr>
        <w:tabs>
          <w:tab w:val="left" w:pos="3640"/>
        </w:tabs>
        <w:autoSpaceDE w:val="0"/>
        <w:autoSpaceDN w:val="0"/>
        <w:spacing w:line="360" w:lineRule="auto"/>
        <w:ind w:firstLine="420" w:firstLineChars="200"/>
        <w:rPr>
          <w:rFonts w:ascii="宋体" w:cs="宋体"/>
          <w:szCs w:val="21"/>
          <w:highlight w:val="none"/>
        </w:rPr>
      </w:pPr>
    </w:p>
    <w:p>
      <w:pPr>
        <w:tabs>
          <w:tab w:val="left" w:pos="3640"/>
        </w:tabs>
        <w:autoSpaceDE w:val="0"/>
        <w:autoSpaceDN w:val="0"/>
        <w:spacing w:line="360" w:lineRule="auto"/>
        <w:ind w:firstLine="420" w:firstLineChars="200"/>
        <w:rPr>
          <w:rFonts w:ascii="宋体" w:cs="宋体"/>
          <w:szCs w:val="21"/>
          <w:highlight w:val="none"/>
        </w:rPr>
      </w:pP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买</w:t>
      </w:r>
      <w:r>
        <w:rPr>
          <w:rFonts w:ascii="宋体" w:hAnsi="宋体" w:cs="宋体"/>
          <w:szCs w:val="21"/>
          <w:highlight w:val="none"/>
        </w:rPr>
        <w:t xml:space="preserve">  </w:t>
      </w:r>
      <w:r>
        <w:rPr>
          <w:rFonts w:hint="eastAsia" w:ascii="宋体" w:hAnsi="宋体" w:cs="宋体"/>
          <w:szCs w:val="21"/>
          <w:highlight w:val="none"/>
        </w:rPr>
        <w:t>方</w:t>
      </w:r>
      <w:r>
        <w:rPr>
          <w:rFonts w:ascii="宋体" w:hAnsi="宋体" w:cs="宋体"/>
          <w:szCs w:val="21"/>
          <w:highlight w:val="none"/>
        </w:rPr>
        <w:t xml:space="preserve"> </w:t>
      </w:r>
      <w:r>
        <w:rPr>
          <w:rFonts w:hint="eastAsia" w:ascii="宋体" w:hAnsi="宋体" w:cs="宋体"/>
          <w:szCs w:val="21"/>
          <w:highlight w:val="none"/>
        </w:rPr>
        <w:t>（采购人）</w:t>
      </w:r>
      <w:r>
        <w:rPr>
          <w:rFonts w:ascii="宋体" w:hAnsi="宋体" w:cs="宋体"/>
          <w:szCs w:val="21"/>
          <w:highlight w:val="none"/>
        </w:rPr>
        <w:t xml:space="preserve">           </w:t>
      </w:r>
      <w:r>
        <w:rPr>
          <w:rFonts w:hint="eastAsia" w:ascii="宋体" w:hAnsi="宋体" w:cs="宋体"/>
          <w:szCs w:val="21"/>
          <w:highlight w:val="none"/>
        </w:rPr>
        <w:t xml:space="preserve">               </w:t>
      </w:r>
      <w:r>
        <w:rPr>
          <w:rFonts w:ascii="宋体" w:hAnsi="宋体" w:cs="宋体"/>
          <w:szCs w:val="21"/>
          <w:highlight w:val="none"/>
        </w:rPr>
        <w:t xml:space="preserve"> </w:t>
      </w:r>
      <w:r>
        <w:rPr>
          <w:rFonts w:hint="eastAsia" w:ascii="宋体" w:hAnsi="宋体" w:cs="宋体"/>
          <w:szCs w:val="21"/>
          <w:highlight w:val="none"/>
        </w:rPr>
        <w:t>卖</w:t>
      </w:r>
      <w:r>
        <w:rPr>
          <w:rFonts w:ascii="宋体" w:hAnsi="宋体" w:cs="宋体"/>
          <w:szCs w:val="21"/>
          <w:highlight w:val="none"/>
        </w:rPr>
        <w:t xml:space="preserve">   </w:t>
      </w:r>
      <w:r>
        <w:rPr>
          <w:rFonts w:hint="eastAsia" w:ascii="宋体" w:hAnsi="宋体" w:cs="宋体"/>
          <w:szCs w:val="21"/>
          <w:highlight w:val="none"/>
        </w:rPr>
        <w:t>方</w:t>
      </w:r>
      <w:r>
        <w:rPr>
          <w:rFonts w:ascii="宋体" w:hAnsi="宋体" w:cs="宋体"/>
          <w:szCs w:val="21"/>
          <w:highlight w:val="none"/>
        </w:rPr>
        <w:t xml:space="preserve"> </w:t>
      </w:r>
      <w:r>
        <w:rPr>
          <w:rFonts w:hint="eastAsia" w:ascii="宋体" w:hAnsi="宋体" w:cs="宋体"/>
          <w:szCs w:val="21"/>
          <w:highlight w:val="none"/>
        </w:rPr>
        <w:t>（供应商）</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需方（盖章）：</w:t>
      </w:r>
      <w:r>
        <w:rPr>
          <w:rFonts w:ascii="宋体" w:hAnsi="宋体" w:cs="宋体"/>
          <w:szCs w:val="21"/>
          <w:highlight w:val="none"/>
          <w:u w:val="single"/>
        </w:rPr>
        <w:t xml:space="preserve">             </w:t>
      </w:r>
      <w:r>
        <w:rPr>
          <w:rFonts w:ascii="宋体" w:hAnsi="宋体" w:cs="宋体"/>
          <w:szCs w:val="21"/>
          <w:highlight w:val="none"/>
        </w:rPr>
        <w:t xml:space="preserve">  </w:t>
      </w:r>
      <w:r>
        <w:rPr>
          <w:rFonts w:hint="eastAsia" w:ascii="宋体" w:hAnsi="宋体" w:cs="宋体"/>
          <w:szCs w:val="21"/>
          <w:highlight w:val="none"/>
        </w:rPr>
        <w:t xml:space="preserve">           </w:t>
      </w:r>
      <w:r>
        <w:rPr>
          <w:rFonts w:ascii="宋体" w:hAnsi="宋体" w:cs="宋体"/>
          <w:szCs w:val="21"/>
          <w:highlight w:val="none"/>
        </w:rPr>
        <w:t xml:space="preserve"> </w:t>
      </w:r>
      <w:r>
        <w:rPr>
          <w:rFonts w:hint="eastAsia" w:ascii="宋体" w:hAnsi="宋体" w:cs="宋体"/>
          <w:szCs w:val="21"/>
          <w:highlight w:val="none"/>
        </w:rPr>
        <w:t>供方（盖章）：</w:t>
      </w:r>
      <w:r>
        <w:rPr>
          <w:rFonts w:ascii="宋体" w:hAnsi="宋体" w:cs="宋体"/>
          <w:szCs w:val="21"/>
          <w:highlight w:val="none"/>
          <w:u w:val="single"/>
        </w:rPr>
        <w:t xml:space="preserve">               </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法人代表：</w:t>
      </w:r>
      <w:r>
        <w:rPr>
          <w:rFonts w:ascii="宋体" w:hAnsi="宋体" w:cs="宋体"/>
          <w:szCs w:val="21"/>
          <w:highlight w:val="none"/>
          <w:u w:val="single"/>
        </w:rPr>
        <w:t xml:space="preserve">                </w:t>
      </w:r>
      <w:r>
        <w:rPr>
          <w:rFonts w:ascii="宋体" w:hAnsi="宋体" w:cs="宋体"/>
          <w:szCs w:val="21"/>
          <w:highlight w:val="none"/>
        </w:rPr>
        <w:t xml:space="preserve">   </w:t>
      </w:r>
      <w:r>
        <w:rPr>
          <w:rFonts w:hint="eastAsia" w:ascii="宋体" w:hAnsi="宋体" w:cs="宋体"/>
          <w:szCs w:val="21"/>
          <w:highlight w:val="none"/>
        </w:rPr>
        <w:t xml:space="preserve">           法人代表：</w:t>
      </w:r>
      <w:r>
        <w:rPr>
          <w:rFonts w:ascii="宋体" w:hAnsi="宋体" w:cs="宋体"/>
          <w:szCs w:val="21"/>
          <w:highlight w:val="none"/>
          <w:u w:val="single"/>
        </w:rPr>
        <w:t xml:space="preserve">                  </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联系人：</w:t>
      </w:r>
      <w:r>
        <w:rPr>
          <w:rFonts w:ascii="宋体" w:hAnsi="宋体" w:cs="宋体"/>
          <w:szCs w:val="21"/>
          <w:highlight w:val="none"/>
          <w:u w:val="single"/>
        </w:rPr>
        <w:t xml:space="preserve">                  </w:t>
      </w:r>
      <w:r>
        <w:rPr>
          <w:rFonts w:ascii="宋体" w:hAnsi="宋体" w:cs="宋体"/>
          <w:szCs w:val="21"/>
          <w:highlight w:val="none"/>
        </w:rPr>
        <w:t xml:space="preserve">  </w:t>
      </w:r>
      <w:r>
        <w:rPr>
          <w:rFonts w:hint="eastAsia" w:ascii="宋体" w:hAnsi="宋体" w:cs="宋体"/>
          <w:szCs w:val="21"/>
          <w:highlight w:val="none"/>
        </w:rPr>
        <w:t xml:space="preserve">            </w:t>
      </w:r>
      <w:r>
        <w:rPr>
          <w:rFonts w:ascii="宋体" w:hAnsi="宋体" w:cs="宋体"/>
          <w:szCs w:val="21"/>
          <w:highlight w:val="none"/>
        </w:rPr>
        <w:t xml:space="preserve"> </w:t>
      </w:r>
      <w:r>
        <w:rPr>
          <w:rFonts w:hint="eastAsia" w:ascii="宋体" w:hAnsi="宋体" w:cs="宋体"/>
          <w:szCs w:val="21"/>
          <w:highlight w:val="none"/>
        </w:rPr>
        <w:t>联系人：</w:t>
      </w:r>
      <w:r>
        <w:rPr>
          <w:rFonts w:ascii="宋体" w:hAnsi="宋体" w:cs="宋体"/>
          <w:szCs w:val="21"/>
          <w:highlight w:val="none"/>
          <w:u w:val="single"/>
        </w:rPr>
        <w:t xml:space="preserve">                    </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地址：</w:t>
      </w:r>
      <w:r>
        <w:rPr>
          <w:rFonts w:ascii="宋体" w:hAnsi="宋体" w:cs="宋体"/>
          <w:szCs w:val="21"/>
          <w:highlight w:val="none"/>
          <w:u w:val="single"/>
        </w:rPr>
        <w:t xml:space="preserve">                    </w:t>
      </w:r>
      <w:r>
        <w:rPr>
          <w:rFonts w:ascii="宋体" w:hAnsi="宋体" w:cs="宋体"/>
          <w:szCs w:val="21"/>
          <w:highlight w:val="none"/>
        </w:rPr>
        <w:t xml:space="preserve">   </w:t>
      </w:r>
      <w:r>
        <w:rPr>
          <w:rFonts w:hint="eastAsia" w:ascii="宋体" w:hAnsi="宋体" w:cs="宋体"/>
          <w:szCs w:val="21"/>
          <w:highlight w:val="none"/>
        </w:rPr>
        <w:t xml:space="preserve">            地址：</w:t>
      </w:r>
      <w:r>
        <w:rPr>
          <w:rFonts w:ascii="宋体" w:hAnsi="宋体" w:cs="宋体"/>
          <w:szCs w:val="21"/>
          <w:highlight w:val="none"/>
          <w:u w:val="single"/>
        </w:rPr>
        <w:t xml:space="preserve">                      </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电话：</w:t>
      </w:r>
      <w:r>
        <w:rPr>
          <w:rFonts w:ascii="宋体" w:hAnsi="宋体" w:cs="宋体"/>
          <w:szCs w:val="21"/>
          <w:highlight w:val="none"/>
          <w:u w:val="single"/>
        </w:rPr>
        <w:t xml:space="preserve">                    </w:t>
      </w:r>
      <w:r>
        <w:rPr>
          <w:rFonts w:ascii="宋体" w:hAnsi="宋体" w:cs="宋体"/>
          <w:szCs w:val="21"/>
          <w:highlight w:val="none"/>
        </w:rPr>
        <w:t xml:space="preserve">   </w:t>
      </w:r>
      <w:r>
        <w:rPr>
          <w:rFonts w:hint="eastAsia" w:ascii="宋体" w:hAnsi="宋体" w:cs="宋体"/>
          <w:szCs w:val="21"/>
          <w:highlight w:val="none"/>
        </w:rPr>
        <w:t xml:space="preserve">            电话：</w:t>
      </w:r>
      <w:r>
        <w:rPr>
          <w:rFonts w:ascii="宋体" w:hAnsi="宋体" w:cs="宋体"/>
          <w:szCs w:val="21"/>
          <w:highlight w:val="none"/>
          <w:u w:val="single"/>
        </w:rPr>
        <w:t xml:space="preserve">                      </w:t>
      </w:r>
      <w:r>
        <w:rPr>
          <w:rFonts w:ascii="宋体" w:hAnsi="宋体" w:cs="宋体"/>
          <w:szCs w:val="21"/>
          <w:highlight w:val="none"/>
        </w:rPr>
        <w:t xml:space="preserve">   </w:t>
      </w:r>
    </w:p>
    <w:p>
      <w:pPr>
        <w:tabs>
          <w:tab w:val="left" w:pos="3640"/>
        </w:tabs>
        <w:autoSpaceDE w:val="0"/>
        <w:autoSpaceDN w:val="0"/>
        <w:spacing w:line="480" w:lineRule="auto"/>
        <w:rPr>
          <w:rFonts w:ascii="宋体" w:cs="宋体"/>
          <w:szCs w:val="21"/>
          <w:highlight w:val="none"/>
        </w:rPr>
      </w:pPr>
      <w:r>
        <w:rPr>
          <w:rFonts w:hint="eastAsia" w:ascii="宋体" w:hAnsi="宋体" w:cs="宋体"/>
          <w:szCs w:val="21"/>
          <w:highlight w:val="none"/>
        </w:rPr>
        <w:t>年</w:t>
      </w:r>
      <w:r>
        <w:rPr>
          <w:rFonts w:ascii="宋体" w:hAnsi="宋体" w:cs="宋体"/>
          <w:szCs w:val="21"/>
          <w:highlight w:val="none"/>
        </w:rPr>
        <w:t xml:space="preserve">   </w:t>
      </w:r>
      <w:r>
        <w:rPr>
          <w:rFonts w:hint="eastAsia" w:ascii="宋体" w:hAnsi="宋体" w:cs="宋体"/>
          <w:szCs w:val="21"/>
          <w:highlight w:val="none"/>
        </w:rPr>
        <w:t>月</w:t>
      </w:r>
      <w:r>
        <w:rPr>
          <w:rFonts w:ascii="宋体" w:hAnsi="宋体" w:cs="宋体"/>
          <w:szCs w:val="21"/>
          <w:highlight w:val="none"/>
        </w:rPr>
        <w:t xml:space="preserve">    </w:t>
      </w:r>
      <w:r>
        <w:rPr>
          <w:rFonts w:hint="eastAsia" w:ascii="宋体" w:hAnsi="宋体" w:cs="宋体"/>
          <w:szCs w:val="21"/>
          <w:highlight w:val="none"/>
        </w:rPr>
        <w:t>日</w:t>
      </w:r>
      <w:r>
        <w:rPr>
          <w:rFonts w:ascii="宋体" w:hAnsi="宋体" w:cs="宋体"/>
          <w:szCs w:val="21"/>
          <w:highlight w:val="none"/>
        </w:rPr>
        <w:t xml:space="preserve">             </w:t>
      </w:r>
      <w:r>
        <w:rPr>
          <w:rFonts w:hint="eastAsia" w:ascii="宋体" w:hAnsi="宋体" w:cs="宋体"/>
          <w:szCs w:val="21"/>
          <w:highlight w:val="none"/>
        </w:rPr>
        <w:t xml:space="preserve">               </w:t>
      </w:r>
      <w:r>
        <w:rPr>
          <w:rFonts w:ascii="宋体" w:hAnsi="宋体" w:cs="宋体"/>
          <w:szCs w:val="21"/>
          <w:highlight w:val="none"/>
        </w:rPr>
        <w:t xml:space="preserve">   </w:t>
      </w:r>
      <w:r>
        <w:rPr>
          <w:rFonts w:hint="eastAsia" w:ascii="宋体" w:hAnsi="宋体" w:cs="宋体"/>
          <w:szCs w:val="21"/>
          <w:highlight w:val="none"/>
        </w:rPr>
        <w:t>年</w:t>
      </w:r>
      <w:r>
        <w:rPr>
          <w:rFonts w:ascii="宋体" w:hAnsi="宋体" w:cs="宋体"/>
          <w:szCs w:val="21"/>
          <w:highlight w:val="none"/>
        </w:rPr>
        <w:t xml:space="preserve">   </w:t>
      </w:r>
      <w:r>
        <w:rPr>
          <w:rFonts w:hint="eastAsia" w:ascii="宋体" w:hAnsi="宋体" w:cs="宋体"/>
          <w:szCs w:val="21"/>
          <w:highlight w:val="none"/>
        </w:rPr>
        <w:t>月</w:t>
      </w:r>
      <w:r>
        <w:rPr>
          <w:rFonts w:ascii="宋体" w:hAnsi="宋体" w:cs="宋体"/>
          <w:szCs w:val="21"/>
          <w:highlight w:val="none"/>
        </w:rPr>
        <w:t xml:space="preserve">    </w:t>
      </w:r>
      <w:r>
        <w:rPr>
          <w:rFonts w:hint="eastAsia" w:ascii="宋体" w:hAnsi="宋体" w:cs="宋体"/>
          <w:szCs w:val="21"/>
          <w:highlight w:val="none"/>
        </w:rPr>
        <w:t>日</w:t>
      </w:r>
      <w:r>
        <w:rPr>
          <w:rFonts w:ascii="宋体" w:hAnsi="宋体" w:cs="宋体"/>
          <w:szCs w:val="21"/>
          <w:highlight w:val="none"/>
        </w:rPr>
        <w:t xml:space="preserve">                         </w:t>
      </w:r>
    </w:p>
    <w:p>
      <w:pPr>
        <w:snapToGrid w:val="0"/>
        <w:spacing w:line="480" w:lineRule="auto"/>
        <w:rPr>
          <w:rFonts w:ascii="宋体" w:cs="宋体"/>
          <w:highlight w:val="none"/>
        </w:rPr>
      </w:pPr>
    </w:p>
    <w:p>
      <w:pPr>
        <w:snapToGrid w:val="0"/>
        <w:spacing w:line="480" w:lineRule="auto"/>
        <w:rPr>
          <w:rFonts w:ascii="宋体" w:cs="宋体"/>
          <w:highlight w:val="none"/>
        </w:rPr>
      </w:pPr>
    </w:p>
    <w:p>
      <w:pPr>
        <w:snapToGrid w:val="0"/>
        <w:spacing w:line="480" w:lineRule="auto"/>
        <w:rPr>
          <w:rFonts w:ascii="宋体" w:cs="宋体"/>
          <w:highlight w:val="none"/>
        </w:rPr>
      </w:pPr>
      <w:r>
        <w:rPr>
          <w:rFonts w:ascii="宋体" w:cs="宋体"/>
          <w:highlight w:val="none"/>
        </w:rPr>
        <w:br w:type="page"/>
      </w:r>
    </w:p>
    <w:p>
      <w:pPr>
        <w:pStyle w:val="2"/>
        <w:spacing w:before="62" w:beforeLines="20" w:after="62" w:afterLines="20" w:line="480" w:lineRule="exact"/>
        <w:ind w:firstLine="0" w:firstLineChars="0"/>
        <w:jc w:val="center"/>
        <w:rPr>
          <w:rFonts w:ascii="Arial" w:hAnsi="Arial"/>
          <w:kern w:val="2"/>
          <w:sz w:val="36"/>
          <w:szCs w:val="36"/>
          <w:highlight w:val="none"/>
        </w:rPr>
      </w:pPr>
      <w:bookmarkStart w:id="146" w:name="_Toc32712"/>
      <w:bookmarkStart w:id="147" w:name="_Toc439316880"/>
      <w:r>
        <w:rPr>
          <w:rFonts w:hint="eastAsia" w:ascii="Arial" w:hAnsi="Arial"/>
          <w:kern w:val="2"/>
          <w:sz w:val="36"/>
          <w:szCs w:val="36"/>
          <w:highlight w:val="none"/>
          <w:lang w:val="zh-CN"/>
        </w:rPr>
        <w:t>第五章</w:t>
      </w:r>
      <w:r>
        <w:rPr>
          <w:rFonts w:ascii="Arial" w:hAnsi="Arial"/>
          <w:kern w:val="2"/>
          <w:sz w:val="36"/>
          <w:szCs w:val="36"/>
          <w:highlight w:val="none"/>
          <w:lang w:val="zh-CN"/>
        </w:rPr>
        <w:t xml:space="preserve">  </w:t>
      </w:r>
      <w:bookmarkStart w:id="148" w:name="_Toc417656001"/>
      <w:r>
        <w:rPr>
          <w:rFonts w:hint="eastAsia" w:ascii="Arial" w:hAnsi="Arial"/>
          <w:kern w:val="2"/>
          <w:sz w:val="36"/>
          <w:szCs w:val="36"/>
          <w:highlight w:val="none"/>
        </w:rPr>
        <w:t>响应文件格式</w:t>
      </w:r>
      <w:bookmarkEnd w:id="146"/>
      <w:bookmarkEnd w:id="147"/>
      <w:bookmarkEnd w:id="148"/>
    </w:p>
    <w:p>
      <w:pPr>
        <w:spacing w:line="360" w:lineRule="auto"/>
        <w:jc w:val="center"/>
        <w:rPr>
          <w:rFonts w:ascii="仿宋" w:hAnsi="仿宋" w:eastAsia="仿宋"/>
          <w:b/>
          <w:spacing w:val="20"/>
          <w:sz w:val="36"/>
          <w:szCs w:val="36"/>
          <w:highlight w:val="none"/>
          <w:u w:val="single"/>
        </w:rPr>
      </w:pPr>
    </w:p>
    <w:p>
      <w:pPr>
        <w:spacing w:line="360" w:lineRule="auto"/>
        <w:jc w:val="center"/>
        <w:rPr>
          <w:rFonts w:ascii="仿宋" w:hAnsi="仿宋" w:eastAsia="仿宋"/>
          <w:b/>
          <w:spacing w:val="20"/>
          <w:sz w:val="36"/>
          <w:szCs w:val="36"/>
          <w:highlight w:val="none"/>
        </w:rPr>
      </w:pPr>
      <w:r>
        <w:rPr>
          <w:rFonts w:hint="eastAsia" w:ascii="宋体" w:hAnsi="宋体" w:cs="宋体"/>
          <w:b/>
          <w:spacing w:val="20"/>
          <w:sz w:val="32"/>
          <w:szCs w:val="32"/>
          <w:highlight w:val="none"/>
          <w:u w:val="single"/>
        </w:rPr>
        <w:t>安庆职业技术学院网络安全等级保护测评项目</w:t>
      </w:r>
      <w:r>
        <w:rPr>
          <w:rFonts w:hint="eastAsia" w:ascii="宋体" w:hAnsi="宋体" w:cs="宋体"/>
          <w:b/>
          <w:spacing w:val="20"/>
          <w:sz w:val="32"/>
          <w:szCs w:val="32"/>
          <w:highlight w:val="none"/>
        </w:rPr>
        <w:t>（项目名称）</w:t>
      </w:r>
    </w:p>
    <w:p>
      <w:pPr>
        <w:spacing w:line="480" w:lineRule="auto"/>
        <w:jc w:val="center"/>
        <w:rPr>
          <w:rFonts w:ascii="宋体" w:hAnsi="宋体"/>
          <w:b/>
          <w:sz w:val="72"/>
          <w:szCs w:val="72"/>
          <w:highlight w:val="none"/>
        </w:rPr>
      </w:pPr>
    </w:p>
    <w:p>
      <w:pPr>
        <w:spacing w:line="360" w:lineRule="auto"/>
        <w:jc w:val="center"/>
        <w:rPr>
          <w:rFonts w:ascii="宋体" w:hAnsi="宋体"/>
          <w:b/>
          <w:sz w:val="72"/>
          <w:szCs w:val="72"/>
          <w:highlight w:val="none"/>
        </w:rPr>
      </w:pPr>
      <w:r>
        <w:rPr>
          <w:rFonts w:hint="eastAsia" w:ascii="宋体" w:hAnsi="宋体"/>
          <w:b/>
          <w:sz w:val="72"/>
          <w:szCs w:val="72"/>
          <w:highlight w:val="none"/>
        </w:rPr>
        <w:t>响</w:t>
      </w:r>
    </w:p>
    <w:p>
      <w:pPr>
        <w:jc w:val="center"/>
        <w:rPr>
          <w:rFonts w:ascii="宋体"/>
          <w:b/>
          <w:sz w:val="24"/>
          <w:szCs w:val="24"/>
          <w:highlight w:val="none"/>
        </w:rPr>
      </w:pPr>
    </w:p>
    <w:p>
      <w:pPr>
        <w:spacing w:line="360" w:lineRule="auto"/>
        <w:jc w:val="center"/>
        <w:rPr>
          <w:rFonts w:ascii="宋体" w:hAnsi="宋体"/>
          <w:b/>
          <w:sz w:val="72"/>
          <w:szCs w:val="72"/>
          <w:highlight w:val="none"/>
        </w:rPr>
      </w:pPr>
      <w:r>
        <w:rPr>
          <w:rFonts w:hint="eastAsia" w:ascii="宋体" w:hAnsi="宋体"/>
          <w:b/>
          <w:sz w:val="72"/>
          <w:szCs w:val="72"/>
          <w:highlight w:val="none"/>
        </w:rPr>
        <w:t>应</w:t>
      </w:r>
    </w:p>
    <w:p>
      <w:pPr>
        <w:spacing w:line="360" w:lineRule="auto"/>
        <w:jc w:val="center"/>
        <w:rPr>
          <w:rFonts w:ascii="宋体"/>
          <w:b/>
          <w:sz w:val="24"/>
          <w:szCs w:val="24"/>
          <w:highlight w:val="none"/>
        </w:rPr>
      </w:pPr>
    </w:p>
    <w:p>
      <w:pPr>
        <w:spacing w:line="360" w:lineRule="auto"/>
        <w:jc w:val="center"/>
        <w:rPr>
          <w:rFonts w:ascii="宋体" w:hAnsi="宋体"/>
          <w:b/>
          <w:sz w:val="72"/>
          <w:szCs w:val="72"/>
          <w:highlight w:val="none"/>
        </w:rPr>
      </w:pPr>
      <w:r>
        <w:rPr>
          <w:rFonts w:hint="eastAsia" w:ascii="宋体" w:hAnsi="宋体"/>
          <w:b/>
          <w:sz w:val="72"/>
          <w:szCs w:val="72"/>
          <w:highlight w:val="none"/>
        </w:rPr>
        <w:t>文</w:t>
      </w:r>
    </w:p>
    <w:p>
      <w:pPr>
        <w:spacing w:line="360" w:lineRule="auto"/>
        <w:jc w:val="center"/>
        <w:rPr>
          <w:rFonts w:ascii="宋体"/>
          <w:b/>
          <w:sz w:val="24"/>
          <w:szCs w:val="24"/>
          <w:highlight w:val="none"/>
        </w:rPr>
      </w:pPr>
    </w:p>
    <w:p>
      <w:pPr>
        <w:spacing w:line="360" w:lineRule="auto"/>
        <w:jc w:val="center"/>
        <w:rPr>
          <w:rFonts w:ascii="宋体"/>
          <w:b/>
          <w:sz w:val="72"/>
          <w:szCs w:val="72"/>
          <w:highlight w:val="none"/>
        </w:rPr>
      </w:pPr>
      <w:r>
        <w:rPr>
          <w:rFonts w:hint="eastAsia" w:ascii="宋体" w:hAnsi="宋体"/>
          <w:b/>
          <w:sz w:val="72"/>
          <w:szCs w:val="72"/>
          <w:highlight w:val="none"/>
        </w:rPr>
        <w:t>件</w:t>
      </w:r>
    </w:p>
    <w:p>
      <w:pPr>
        <w:spacing w:line="360" w:lineRule="auto"/>
        <w:rPr>
          <w:rFonts w:ascii="宋体"/>
          <w:sz w:val="24"/>
          <w:highlight w:val="none"/>
        </w:rPr>
      </w:pPr>
    </w:p>
    <w:p>
      <w:pPr>
        <w:spacing w:line="360" w:lineRule="auto"/>
        <w:rPr>
          <w:rFonts w:ascii="宋体"/>
          <w:sz w:val="24"/>
          <w:highlight w:val="none"/>
        </w:rPr>
      </w:pPr>
    </w:p>
    <w:p>
      <w:pPr>
        <w:spacing w:line="360" w:lineRule="auto"/>
        <w:ind w:firstLine="148" w:firstLineChars="49"/>
        <w:rPr>
          <w:rFonts w:ascii="宋体"/>
          <w:b/>
          <w:sz w:val="30"/>
          <w:szCs w:val="30"/>
          <w:highlight w:val="none"/>
        </w:rPr>
      </w:pPr>
      <w:r>
        <w:rPr>
          <w:rFonts w:hint="eastAsia" w:ascii="宋体" w:hAnsi="宋体"/>
          <w:b/>
          <w:sz w:val="30"/>
          <w:szCs w:val="30"/>
          <w:highlight w:val="none"/>
        </w:rPr>
        <w:t>采购人名称：</w:t>
      </w:r>
      <w:r>
        <w:rPr>
          <w:rFonts w:ascii="宋体" w:hAnsi="宋体"/>
          <w:b/>
          <w:sz w:val="30"/>
          <w:szCs w:val="30"/>
          <w:highlight w:val="none"/>
        </w:rPr>
        <w:t xml:space="preserve"> </w:t>
      </w:r>
      <w:r>
        <w:rPr>
          <w:rFonts w:ascii="宋体" w:hAnsi="宋体"/>
          <w:b/>
          <w:sz w:val="30"/>
          <w:szCs w:val="30"/>
          <w:highlight w:val="none"/>
          <w:u w:val="single"/>
        </w:rPr>
        <w:t xml:space="preserve">                                             </w:t>
      </w:r>
    </w:p>
    <w:p>
      <w:pPr>
        <w:spacing w:line="360" w:lineRule="auto"/>
        <w:ind w:firstLine="148" w:firstLineChars="49"/>
        <w:rPr>
          <w:rFonts w:ascii="宋体" w:hAnsi="宋体"/>
          <w:b/>
          <w:sz w:val="30"/>
          <w:szCs w:val="30"/>
          <w:highlight w:val="none"/>
        </w:rPr>
      </w:pPr>
    </w:p>
    <w:p>
      <w:pPr>
        <w:spacing w:line="360" w:lineRule="auto"/>
        <w:ind w:firstLine="148" w:firstLineChars="49"/>
        <w:rPr>
          <w:rFonts w:ascii="宋体"/>
          <w:b/>
          <w:sz w:val="30"/>
          <w:szCs w:val="30"/>
          <w:highlight w:val="none"/>
        </w:rPr>
      </w:pPr>
      <w:r>
        <w:rPr>
          <w:rFonts w:hint="eastAsia" w:ascii="宋体" w:hAnsi="宋体"/>
          <w:b/>
          <w:sz w:val="30"/>
          <w:szCs w:val="30"/>
          <w:highlight w:val="none"/>
        </w:rPr>
        <w:t>供应商名称：</w:t>
      </w:r>
      <w:r>
        <w:rPr>
          <w:rFonts w:ascii="宋体" w:hAnsi="宋体"/>
          <w:b/>
          <w:sz w:val="30"/>
          <w:szCs w:val="30"/>
          <w:highlight w:val="none"/>
        </w:rPr>
        <w:t xml:space="preserve"> </w:t>
      </w:r>
      <w:r>
        <w:rPr>
          <w:rFonts w:ascii="宋体" w:hAnsi="宋体"/>
          <w:b/>
          <w:sz w:val="30"/>
          <w:szCs w:val="30"/>
          <w:highlight w:val="none"/>
          <w:u w:val="single"/>
        </w:rPr>
        <w:t xml:space="preserve">          </w:t>
      </w:r>
      <w:r>
        <w:rPr>
          <w:rFonts w:hint="eastAsia" w:ascii="宋体" w:hAnsi="宋体"/>
          <w:b/>
          <w:sz w:val="30"/>
          <w:szCs w:val="30"/>
          <w:highlight w:val="none"/>
          <w:u w:val="single"/>
        </w:rPr>
        <w:t xml:space="preserve">     </w:t>
      </w:r>
      <w:r>
        <w:rPr>
          <w:rFonts w:ascii="宋体" w:hAnsi="宋体"/>
          <w:b/>
          <w:sz w:val="30"/>
          <w:szCs w:val="30"/>
          <w:highlight w:val="none"/>
          <w:u w:val="single"/>
        </w:rPr>
        <w:t xml:space="preserve">                  </w:t>
      </w:r>
      <w:r>
        <w:rPr>
          <w:rFonts w:hint="eastAsia" w:ascii="宋体" w:hAnsi="宋体"/>
          <w:b/>
          <w:sz w:val="30"/>
          <w:szCs w:val="30"/>
          <w:highlight w:val="none"/>
          <w:u w:val="single"/>
        </w:rPr>
        <w:t>（加盖公章）</w:t>
      </w:r>
      <w:r>
        <w:rPr>
          <w:rFonts w:ascii="宋体" w:hAnsi="宋体"/>
          <w:b/>
          <w:sz w:val="30"/>
          <w:szCs w:val="30"/>
          <w:highlight w:val="none"/>
          <w:u w:val="single"/>
        </w:rPr>
        <w:t xml:space="preserve"> </w:t>
      </w:r>
    </w:p>
    <w:p>
      <w:pPr>
        <w:spacing w:line="360" w:lineRule="auto"/>
        <w:ind w:firstLine="148" w:firstLineChars="49"/>
        <w:jc w:val="left"/>
        <w:rPr>
          <w:rFonts w:ascii="宋体" w:hAnsi="宋体" w:cs="宋体"/>
          <w:b/>
          <w:sz w:val="30"/>
          <w:szCs w:val="30"/>
          <w:highlight w:val="none"/>
        </w:rPr>
      </w:pPr>
    </w:p>
    <w:p>
      <w:pPr>
        <w:spacing w:line="360" w:lineRule="auto"/>
        <w:ind w:firstLine="148" w:firstLineChars="49"/>
        <w:jc w:val="left"/>
        <w:rPr>
          <w:rFonts w:ascii="宋体" w:hAnsi="宋体" w:cs="宋体"/>
          <w:b/>
          <w:sz w:val="30"/>
          <w:szCs w:val="30"/>
          <w:highlight w:val="none"/>
        </w:rPr>
      </w:pPr>
      <w:r>
        <w:rPr>
          <w:rFonts w:hint="eastAsia" w:ascii="宋体" w:hAnsi="宋体" w:cs="宋体"/>
          <w:b/>
          <w:sz w:val="30"/>
          <w:szCs w:val="30"/>
          <w:highlight w:val="none"/>
        </w:rPr>
        <w:t>法定代表人或委托代理人：</w:t>
      </w:r>
      <w:r>
        <w:rPr>
          <w:rFonts w:hint="eastAsia" w:ascii="宋体" w:hAnsi="宋体" w:cs="宋体"/>
          <w:b/>
          <w:sz w:val="30"/>
          <w:szCs w:val="30"/>
          <w:highlight w:val="none"/>
          <w:u w:val="single"/>
        </w:rPr>
        <w:t xml:space="preserve">                     (签字或盖章) </w:t>
      </w:r>
    </w:p>
    <w:p>
      <w:pPr>
        <w:spacing w:line="360" w:lineRule="auto"/>
        <w:rPr>
          <w:rFonts w:ascii="仿宋_GB2312" w:eastAsia="仿宋_GB2312"/>
          <w:sz w:val="30"/>
          <w:szCs w:val="30"/>
          <w:highlight w:val="none"/>
        </w:rPr>
      </w:pPr>
    </w:p>
    <w:p>
      <w:pPr>
        <w:spacing w:line="480" w:lineRule="exact"/>
        <w:jc w:val="center"/>
        <w:rPr>
          <w:rFonts w:ascii="宋体" w:hAnsi="宋体"/>
          <w:b/>
          <w:sz w:val="30"/>
          <w:szCs w:val="30"/>
          <w:highlight w:val="none"/>
        </w:rPr>
      </w:pPr>
      <w:r>
        <w:rPr>
          <w:rFonts w:hint="eastAsia" w:ascii="宋体" w:hAnsi="宋体"/>
          <w:b/>
          <w:sz w:val="30"/>
          <w:szCs w:val="30"/>
          <w:highlight w:val="none"/>
        </w:rPr>
        <w:t>日期：</w:t>
      </w:r>
      <w:r>
        <w:rPr>
          <w:rFonts w:ascii="宋体" w:hAnsi="宋体"/>
          <w:b/>
          <w:sz w:val="30"/>
          <w:szCs w:val="30"/>
          <w:highlight w:val="none"/>
          <w:u w:val="single"/>
        </w:rPr>
        <w:t xml:space="preserve">    </w:t>
      </w:r>
      <w:r>
        <w:rPr>
          <w:rFonts w:hint="eastAsia" w:ascii="宋体" w:hAnsi="宋体"/>
          <w:b/>
          <w:sz w:val="30"/>
          <w:szCs w:val="30"/>
          <w:highlight w:val="none"/>
        </w:rPr>
        <w:t>年</w:t>
      </w:r>
      <w:r>
        <w:rPr>
          <w:rFonts w:ascii="宋体" w:hAnsi="宋体"/>
          <w:b/>
          <w:sz w:val="30"/>
          <w:szCs w:val="30"/>
          <w:highlight w:val="none"/>
          <w:u w:val="single"/>
        </w:rPr>
        <w:t xml:space="preserve">     </w:t>
      </w:r>
      <w:r>
        <w:rPr>
          <w:rFonts w:hint="eastAsia" w:ascii="宋体" w:hAnsi="宋体"/>
          <w:b/>
          <w:sz w:val="30"/>
          <w:szCs w:val="30"/>
          <w:highlight w:val="none"/>
        </w:rPr>
        <w:t>月</w:t>
      </w:r>
      <w:r>
        <w:rPr>
          <w:rFonts w:ascii="宋体" w:hAnsi="宋体"/>
          <w:b/>
          <w:sz w:val="30"/>
          <w:szCs w:val="30"/>
          <w:highlight w:val="none"/>
          <w:u w:val="single"/>
        </w:rPr>
        <w:t xml:space="preserve">    </w:t>
      </w:r>
      <w:r>
        <w:rPr>
          <w:rFonts w:hint="eastAsia" w:ascii="宋体" w:hAnsi="宋体"/>
          <w:b/>
          <w:sz w:val="30"/>
          <w:szCs w:val="30"/>
          <w:highlight w:val="none"/>
        </w:rPr>
        <w:t>日</w:t>
      </w:r>
    </w:p>
    <w:p>
      <w:pPr>
        <w:spacing w:line="480" w:lineRule="exact"/>
        <w:jc w:val="center"/>
        <w:rPr>
          <w:rFonts w:ascii="宋体" w:hAnsi="宋体"/>
          <w:b/>
          <w:sz w:val="30"/>
          <w:szCs w:val="30"/>
          <w:highlight w:val="none"/>
        </w:rPr>
      </w:pPr>
    </w:p>
    <w:p>
      <w:pPr>
        <w:spacing w:line="480" w:lineRule="exact"/>
        <w:rPr>
          <w:rFonts w:ascii="黑体" w:eastAsia="黑体"/>
          <w:b/>
          <w:bCs/>
          <w:szCs w:val="21"/>
          <w:highlight w:val="none"/>
        </w:rPr>
      </w:pPr>
    </w:p>
    <w:p>
      <w:pPr>
        <w:jc w:val="center"/>
        <w:rPr>
          <w:rFonts w:ascii="宋体" w:cs="宋体"/>
          <w:b/>
          <w:sz w:val="30"/>
          <w:szCs w:val="30"/>
          <w:highlight w:val="none"/>
        </w:rPr>
      </w:pPr>
      <w:r>
        <w:rPr>
          <w:rFonts w:hint="eastAsia" w:ascii="宋体" w:hAnsi="宋体" w:cs="宋体"/>
          <w:b/>
          <w:sz w:val="30"/>
          <w:szCs w:val="30"/>
          <w:highlight w:val="none"/>
        </w:rPr>
        <w:t>目</w:t>
      </w:r>
      <w:r>
        <w:rPr>
          <w:rFonts w:ascii="宋体" w:hAnsi="宋体" w:cs="宋体"/>
          <w:b/>
          <w:sz w:val="30"/>
          <w:szCs w:val="30"/>
          <w:highlight w:val="none"/>
        </w:rPr>
        <w:t xml:space="preserve"> </w:t>
      </w:r>
      <w:r>
        <w:rPr>
          <w:rFonts w:hint="eastAsia" w:ascii="宋体" w:hAnsi="宋体" w:cs="宋体"/>
          <w:b/>
          <w:sz w:val="30"/>
          <w:szCs w:val="30"/>
          <w:highlight w:val="none"/>
        </w:rPr>
        <w:t>录</w:t>
      </w:r>
    </w:p>
    <w:p>
      <w:pPr>
        <w:numPr>
          <w:ilvl w:val="0"/>
          <w:numId w:val="13"/>
        </w:numPr>
        <w:spacing w:line="480" w:lineRule="auto"/>
        <w:ind w:firstLine="480" w:firstLineChars="200"/>
        <w:rPr>
          <w:rFonts w:ascii="宋体" w:cs="宋体"/>
          <w:sz w:val="24"/>
          <w:highlight w:val="none"/>
        </w:rPr>
      </w:pPr>
      <w:r>
        <w:rPr>
          <w:rFonts w:hint="eastAsia" w:ascii="宋体" w:hAnsi="宋体" w:cs="宋体"/>
          <w:sz w:val="24"/>
          <w:highlight w:val="none"/>
        </w:rPr>
        <w:t>磋商响应函</w:t>
      </w:r>
    </w:p>
    <w:p>
      <w:pPr>
        <w:numPr>
          <w:ilvl w:val="0"/>
          <w:numId w:val="13"/>
        </w:numPr>
        <w:spacing w:line="480" w:lineRule="auto"/>
        <w:ind w:firstLine="480" w:firstLineChars="200"/>
        <w:rPr>
          <w:rFonts w:ascii="宋体" w:cs="宋体"/>
          <w:sz w:val="24"/>
          <w:highlight w:val="none"/>
        </w:rPr>
      </w:pPr>
      <w:r>
        <w:rPr>
          <w:rFonts w:hint="eastAsia" w:ascii="宋体" w:hAnsi="宋体" w:cs="宋体"/>
          <w:sz w:val="24"/>
          <w:highlight w:val="none"/>
        </w:rPr>
        <w:t>服务报价表</w:t>
      </w:r>
    </w:p>
    <w:p>
      <w:pPr>
        <w:numPr>
          <w:ilvl w:val="0"/>
          <w:numId w:val="13"/>
        </w:numPr>
        <w:spacing w:line="480" w:lineRule="auto"/>
        <w:ind w:firstLine="480" w:firstLineChars="200"/>
        <w:rPr>
          <w:rFonts w:ascii="宋体" w:cs="宋体"/>
          <w:sz w:val="24"/>
          <w:highlight w:val="none"/>
        </w:rPr>
      </w:pPr>
      <w:r>
        <w:rPr>
          <w:rFonts w:hint="eastAsia" w:ascii="宋体" w:hAnsi="宋体" w:cs="宋体"/>
          <w:sz w:val="24"/>
          <w:highlight w:val="none"/>
        </w:rPr>
        <w:t>服务内容及质量要求响应表</w:t>
      </w:r>
    </w:p>
    <w:p>
      <w:pPr>
        <w:numPr>
          <w:ilvl w:val="0"/>
          <w:numId w:val="13"/>
        </w:numPr>
        <w:spacing w:line="480" w:lineRule="auto"/>
        <w:ind w:firstLine="480" w:firstLineChars="200"/>
        <w:rPr>
          <w:rFonts w:ascii="宋体" w:cs="宋体"/>
          <w:sz w:val="24"/>
          <w:highlight w:val="none"/>
        </w:rPr>
      </w:pPr>
      <w:r>
        <w:rPr>
          <w:rFonts w:hint="eastAsia" w:ascii="宋体" w:hAnsi="宋体" w:cs="宋体"/>
          <w:sz w:val="24"/>
          <w:highlight w:val="none"/>
        </w:rPr>
        <w:t>最后报价表</w:t>
      </w:r>
    </w:p>
    <w:p>
      <w:pPr>
        <w:spacing w:line="480" w:lineRule="auto"/>
        <w:ind w:firstLine="480" w:firstLineChars="200"/>
        <w:rPr>
          <w:rFonts w:ascii="宋体" w:cs="宋体"/>
          <w:sz w:val="24"/>
          <w:highlight w:val="none"/>
        </w:rPr>
      </w:pPr>
      <w:r>
        <w:rPr>
          <w:rFonts w:hint="eastAsia" w:ascii="宋体" w:hAnsi="宋体" w:cs="宋体"/>
          <w:sz w:val="24"/>
          <w:highlight w:val="none"/>
        </w:rPr>
        <w:t>五、服务方案</w:t>
      </w:r>
    </w:p>
    <w:p>
      <w:pPr>
        <w:spacing w:line="480" w:lineRule="auto"/>
        <w:ind w:firstLine="480" w:firstLineChars="200"/>
        <w:rPr>
          <w:rFonts w:ascii="宋体" w:hAnsi="宋体" w:cs="宋体"/>
          <w:sz w:val="24"/>
          <w:highlight w:val="none"/>
        </w:rPr>
      </w:pPr>
      <w:r>
        <w:rPr>
          <w:rFonts w:hint="eastAsia" w:ascii="宋体" w:hAnsi="宋体" w:cs="宋体"/>
          <w:sz w:val="24"/>
          <w:highlight w:val="none"/>
        </w:rPr>
        <w:t>六、诚信响应承诺书</w:t>
      </w:r>
    </w:p>
    <w:p>
      <w:pPr>
        <w:spacing w:line="480" w:lineRule="auto"/>
        <w:ind w:firstLine="480" w:firstLineChars="200"/>
        <w:rPr>
          <w:rFonts w:ascii="宋体" w:hAnsi="宋体" w:cs="宋体"/>
          <w:color w:val="000000"/>
          <w:sz w:val="24"/>
          <w:highlight w:val="none"/>
        </w:rPr>
      </w:pPr>
      <w:r>
        <w:rPr>
          <w:rFonts w:hint="eastAsia" w:ascii="宋体" w:hAnsi="宋体"/>
          <w:sz w:val="24"/>
          <w:highlight w:val="none"/>
        </w:rPr>
        <w:t>七、</w:t>
      </w:r>
      <w:r>
        <w:rPr>
          <w:rFonts w:hint="eastAsia" w:ascii="宋体" w:hAnsi="宋体" w:cs="宋体"/>
          <w:color w:val="000000"/>
          <w:sz w:val="24"/>
          <w:highlight w:val="none"/>
        </w:rPr>
        <w:t>资格证明文件</w:t>
      </w:r>
    </w:p>
    <w:p>
      <w:pPr>
        <w:spacing w:line="480" w:lineRule="auto"/>
        <w:ind w:firstLine="480" w:firstLineChars="200"/>
        <w:rPr>
          <w:rFonts w:ascii="宋体" w:hAnsi="宋体" w:cs="宋体"/>
          <w:sz w:val="24"/>
          <w:highlight w:val="none"/>
        </w:rPr>
      </w:pPr>
    </w:p>
    <w:p>
      <w:pPr>
        <w:spacing w:line="480" w:lineRule="auto"/>
        <w:ind w:firstLine="480" w:firstLineChars="200"/>
        <w:rPr>
          <w:rFonts w:ascii="宋体" w:cs="宋体"/>
          <w:sz w:val="24"/>
          <w:highlight w:val="none"/>
        </w:rPr>
      </w:pPr>
    </w:p>
    <w:p>
      <w:pPr>
        <w:spacing w:line="360" w:lineRule="auto"/>
        <w:ind w:firstLine="480" w:firstLineChars="200"/>
        <w:rPr>
          <w:rFonts w:ascii="宋体" w:cs="宋体"/>
          <w:sz w:val="24"/>
          <w:highlight w:val="none"/>
        </w:rPr>
      </w:pPr>
    </w:p>
    <w:p>
      <w:pPr>
        <w:widowControl/>
        <w:jc w:val="left"/>
        <w:rPr>
          <w:rFonts w:ascii="宋体" w:cs="宋体"/>
          <w:sz w:val="24"/>
          <w:highlight w:val="none"/>
        </w:rPr>
      </w:pPr>
      <w:r>
        <w:rPr>
          <w:rFonts w:ascii="宋体" w:cs="宋体"/>
          <w:sz w:val="24"/>
          <w:highlight w:val="none"/>
        </w:rPr>
        <w:br w:type="page"/>
      </w:r>
    </w:p>
    <w:p>
      <w:pPr>
        <w:pStyle w:val="5"/>
        <w:spacing w:line="440" w:lineRule="exact"/>
        <w:rPr>
          <w:rFonts w:cs="宋体"/>
          <w:szCs w:val="28"/>
          <w:highlight w:val="none"/>
        </w:rPr>
      </w:pPr>
      <w:bookmarkStart w:id="149" w:name="_Toc8767"/>
      <w:bookmarkStart w:id="150" w:name="_Toc476584433"/>
      <w:r>
        <w:rPr>
          <w:rFonts w:hint="eastAsia" w:cs="宋体"/>
          <w:szCs w:val="28"/>
          <w:highlight w:val="none"/>
        </w:rPr>
        <w:t>一、磋商响应函</w:t>
      </w:r>
      <w:bookmarkEnd w:id="149"/>
      <w:bookmarkEnd w:id="150"/>
    </w:p>
    <w:p>
      <w:pPr>
        <w:tabs>
          <w:tab w:val="left" w:pos="5580"/>
        </w:tabs>
        <w:spacing w:before="120" w:line="480" w:lineRule="auto"/>
        <w:rPr>
          <w:rFonts w:ascii="宋体" w:cs="宋体"/>
          <w:szCs w:val="21"/>
          <w:highlight w:val="none"/>
        </w:rPr>
      </w:pPr>
      <w:r>
        <w:rPr>
          <w:rFonts w:hint="eastAsia" w:ascii="宋体" w:hAnsi="宋体" w:cs="宋体"/>
          <w:szCs w:val="21"/>
          <w:highlight w:val="none"/>
        </w:rPr>
        <w:t>致：</w:t>
      </w:r>
      <w:r>
        <w:rPr>
          <w:rFonts w:hint="eastAsia" w:ascii="宋体" w:hAnsi="宋体" w:cs="宋体"/>
          <w:szCs w:val="21"/>
          <w:highlight w:val="none"/>
          <w:u w:val="single"/>
        </w:rPr>
        <w:t>安庆职业技术学院</w:t>
      </w:r>
    </w:p>
    <w:p>
      <w:pPr>
        <w:pStyle w:val="29"/>
        <w:tabs>
          <w:tab w:val="left" w:pos="5580"/>
        </w:tabs>
        <w:spacing w:line="480" w:lineRule="auto"/>
        <w:ind w:firstLine="420" w:firstLineChars="200"/>
        <w:rPr>
          <w:rFonts w:hAnsi="宋体" w:cs="宋体"/>
          <w:highlight w:val="none"/>
        </w:rPr>
      </w:pPr>
      <w:r>
        <w:rPr>
          <w:rFonts w:hAnsi="宋体" w:cs="宋体"/>
          <w:highlight w:val="none"/>
        </w:rPr>
        <w:t>1</w:t>
      </w:r>
      <w:r>
        <w:rPr>
          <w:rFonts w:hint="eastAsia" w:hAnsi="宋体" w:cs="宋体"/>
          <w:highlight w:val="none"/>
        </w:rPr>
        <w:t>、根据贵方磋商公告，我方决定参加贵方组织的</w:t>
      </w:r>
      <w:r>
        <w:rPr>
          <w:rFonts w:hAnsi="宋体" w:cs="宋体"/>
          <w:highlight w:val="none"/>
          <w:u w:val="single"/>
        </w:rPr>
        <w:t xml:space="preserve"> </w:t>
      </w:r>
      <w:r>
        <w:rPr>
          <w:rFonts w:hint="eastAsia" w:hAnsi="宋体" w:cs="宋体"/>
          <w:highlight w:val="none"/>
          <w:u w:val="single"/>
        </w:rPr>
        <w:t>安庆职业技术学院网络安全等级保护测评项目</w:t>
      </w:r>
      <w:r>
        <w:rPr>
          <w:rFonts w:hint="eastAsia" w:hAnsi="宋体" w:cs="宋体"/>
          <w:highlight w:val="none"/>
        </w:rPr>
        <w:t>的磋商活动。我方授权</w:t>
      </w:r>
      <w:r>
        <w:rPr>
          <w:rFonts w:hAnsi="宋体" w:cs="宋体"/>
          <w:highlight w:val="none"/>
          <w:u w:val="single"/>
        </w:rPr>
        <w:t xml:space="preserve">        </w:t>
      </w:r>
      <w:r>
        <w:rPr>
          <w:rFonts w:hAnsi="宋体" w:cs="宋体"/>
          <w:highlight w:val="none"/>
        </w:rPr>
        <w:t>(</w:t>
      </w:r>
      <w:r>
        <w:rPr>
          <w:rFonts w:hint="eastAsia" w:hAnsi="宋体" w:cs="宋体"/>
          <w:highlight w:val="none"/>
        </w:rPr>
        <w:t>姓名和职务</w:t>
      </w:r>
      <w:r>
        <w:rPr>
          <w:rFonts w:hAnsi="宋体" w:cs="宋体"/>
          <w:highlight w:val="none"/>
        </w:rPr>
        <w:t>)</w:t>
      </w:r>
      <w:r>
        <w:rPr>
          <w:rFonts w:hint="eastAsia" w:hAnsi="宋体" w:cs="宋体"/>
          <w:highlight w:val="none"/>
        </w:rPr>
        <w:t>代表我方</w:t>
      </w:r>
      <w:r>
        <w:rPr>
          <w:rFonts w:hAnsi="宋体" w:cs="宋体"/>
          <w:highlight w:val="none"/>
          <w:u w:val="single"/>
        </w:rPr>
        <w:t xml:space="preserve">                    </w:t>
      </w:r>
      <w:r>
        <w:rPr>
          <w:rFonts w:hint="eastAsia" w:hAnsi="宋体" w:cs="宋体"/>
          <w:highlight w:val="none"/>
        </w:rPr>
        <w:t>（供应商的名称）全权处理本项目响应的有关事宜。</w:t>
      </w:r>
    </w:p>
    <w:p>
      <w:pPr>
        <w:pStyle w:val="29"/>
        <w:tabs>
          <w:tab w:val="left" w:pos="5580"/>
        </w:tabs>
        <w:spacing w:line="480" w:lineRule="auto"/>
        <w:ind w:firstLine="420" w:firstLineChars="200"/>
        <w:rPr>
          <w:rFonts w:hAnsi="宋体" w:cs="宋体"/>
          <w:b/>
          <w:bCs/>
          <w:highlight w:val="none"/>
        </w:rPr>
      </w:pPr>
      <w:r>
        <w:rPr>
          <w:rFonts w:hAnsi="宋体" w:cs="宋体"/>
          <w:highlight w:val="none"/>
        </w:rPr>
        <w:t>2</w:t>
      </w:r>
      <w:r>
        <w:rPr>
          <w:rFonts w:hint="eastAsia" w:hAnsi="宋体" w:cs="宋体"/>
          <w:highlight w:val="none"/>
        </w:rPr>
        <w:t>、我方愿意按照磋商文件约定的各项要求，向采购人提供所需的服务，</w:t>
      </w:r>
      <w:r>
        <w:rPr>
          <w:rFonts w:hint="eastAsia" w:hAnsi="宋体" w:cs="宋体"/>
          <w:b/>
          <w:bCs/>
          <w:highlight w:val="none"/>
        </w:rPr>
        <w:t>报价为人民币（大写）</w:t>
      </w:r>
      <w:r>
        <w:rPr>
          <w:rFonts w:hint="eastAsia" w:hAnsi="宋体" w:cs="宋体"/>
          <w:b/>
          <w:bCs/>
          <w:highlight w:val="none"/>
          <w:u w:val="single"/>
        </w:rPr>
        <w:t xml:space="preserve">         元 </w:t>
      </w:r>
      <w:r>
        <w:rPr>
          <w:rFonts w:hint="eastAsia" w:hAnsi="宋体" w:cs="宋体"/>
          <w:b/>
          <w:bCs/>
          <w:highlight w:val="none"/>
        </w:rPr>
        <w:t>(小写)</w:t>
      </w:r>
      <w:r>
        <w:rPr>
          <w:rFonts w:hint="eastAsia" w:hAnsi="宋体" w:cs="宋体"/>
          <w:b/>
          <w:bCs/>
          <w:highlight w:val="none"/>
          <w:u w:val="single"/>
        </w:rPr>
        <w:t xml:space="preserve">       元</w:t>
      </w:r>
      <w:r>
        <w:rPr>
          <w:rFonts w:hint="eastAsia" w:hAnsi="宋体" w:cs="宋体"/>
          <w:b/>
          <w:bCs/>
          <w:highlight w:val="none"/>
        </w:rPr>
        <w:t>。</w:t>
      </w:r>
    </w:p>
    <w:p>
      <w:pPr>
        <w:pStyle w:val="29"/>
        <w:tabs>
          <w:tab w:val="left" w:pos="5580"/>
        </w:tabs>
        <w:spacing w:line="480" w:lineRule="auto"/>
        <w:ind w:firstLine="417" w:firstLineChars="199"/>
        <w:rPr>
          <w:rFonts w:hAnsi="宋体" w:cs="宋体"/>
          <w:b/>
          <w:bCs/>
          <w:highlight w:val="none"/>
        </w:rPr>
      </w:pPr>
      <w:r>
        <w:rPr>
          <w:rFonts w:hAnsi="宋体" w:cs="宋体"/>
          <w:highlight w:val="none"/>
        </w:rPr>
        <w:t>3</w:t>
      </w:r>
      <w:r>
        <w:rPr>
          <w:rFonts w:hint="eastAsia" w:hAnsi="宋体" w:cs="宋体"/>
          <w:highlight w:val="none"/>
        </w:rPr>
        <w:t>、一旦我方成交，我方将严格履行合同约定的责任和义务</w:t>
      </w:r>
      <w:r>
        <w:rPr>
          <w:rFonts w:hint="eastAsia" w:hAnsi="宋体" w:cs="宋体"/>
          <w:highlight w:val="none"/>
        </w:rPr>
        <w:t>，</w:t>
      </w:r>
      <w:r>
        <w:rPr>
          <w:rFonts w:hint="eastAsia" w:hAnsi="宋体" w:cs="宋体"/>
          <w:b/>
          <w:bCs/>
          <w:highlight w:val="none"/>
        </w:rPr>
        <w:t>保证于合同签字生效后</w:t>
      </w:r>
      <w:r>
        <w:rPr>
          <w:rFonts w:hint="eastAsia" w:hAnsi="宋体" w:cs="宋体"/>
          <w:b/>
          <w:bCs/>
          <w:highlight w:val="none"/>
          <w:u w:val="single"/>
        </w:rPr>
        <w:t xml:space="preserve">     </w:t>
      </w:r>
      <w:r>
        <w:rPr>
          <w:rFonts w:hint="eastAsia" w:hAnsi="宋体" w:cs="宋体"/>
          <w:b/>
          <w:bCs/>
          <w:highlight w:val="none"/>
        </w:rPr>
        <w:t>日历天内完成本项目的全部内容，并通过采购人验收。</w:t>
      </w:r>
    </w:p>
    <w:p>
      <w:pPr>
        <w:pStyle w:val="29"/>
        <w:tabs>
          <w:tab w:val="left" w:pos="5580"/>
        </w:tabs>
        <w:spacing w:line="360" w:lineRule="auto"/>
        <w:ind w:firstLine="394" w:firstLineChars="199"/>
        <w:rPr>
          <w:rFonts w:hAnsi="宋体" w:cs="宋体"/>
          <w:spacing w:val="-6"/>
          <w:highlight w:val="none"/>
        </w:rPr>
      </w:pPr>
      <w:r>
        <w:rPr>
          <w:rFonts w:hAnsi="宋体" w:cs="宋体"/>
          <w:spacing w:val="-6"/>
          <w:highlight w:val="none"/>
        </w:rPr>
        <w:t>4</w:t>
      </w:r>
      <w:r>
        <w:rPr>
          <w:rFonts w:hint="eastAsia" w:hAnsi="宋体" w:cs="宋体"/>
          <w:spacing w:val="-6"/>
          <w:highlight w:val="none"/>
        </w:rPr>
        <w:t>、我方保证按照本项目竞争性磋商文件要求提交磋商响应文件。</w:t>
      </w:r>
    </w:p>
    <w:p>
      <w:pPr>
        <w:pStyle w:val="29"/>
        <w:tabs>
          <w:tab w:val="left" w:pos="5580"/>
        </w:tabs>
        <w:spacing w:line="480" w:lineRule="auto"/>
        <w:ind w:firstLine="394" w:firstLineChars="199"/>
        <w:rPr>
          <w:rFonts w:hAnsi="宋体" w:cs="宋体"/>
          <w:highlight w:val="none"/>
        </w:rPr>
      </w:pPr>
      <w:r>
        <w:rPr>
          <w:rFonts w:hint="eastAsia" w:hAnsi="宋体" w:cs="宋体"/>
          <w:spacing w:val="-6"/>
          <w:highlight w:val="none"/>
        </w:rPr>
        <w:t>5、</w:t>
      </w:r>
      <w:r>
        <w:rPr>
          <w:rFonts w:hint="eastAsia" w:hAnsi="宋体" w:cs="宋体"/>
          <w:highlight w:val="none"/>
        </w:rPr>
        <w:t>我方愿意提供贵方可能另外要求的、与响应有关的文件资料，并保证我方已提供和将要提供的文件是真实的、准确的。</w:t>
      </w:r>
    </w:p>
    <w:p>
      <w:pPr>
        <w:pStyle w:val="29"/>
        <w:tabs>
          <w:tab w:val="left" w:pos="5580"/>
        </w:tabs>
        <w:spacing w:line="480" w:lineRule="auto"/>
        <w:ind w:firstLine="417" w:firstLineChars="199"/>
        <w:rPr>
          <w:rFonts w:hAnsi="宋体" w:cs="宋体"/>
          <w:highlight w:val="none"/>
        </w:rPr>
      </w:pPr>
      <w:r>
        <w:rPr>
          <w:rFonts w:hint="eastAsia" w:hAnsi="宋体" w:cs="宋体"/>
          <w:highlight w:val="none"/>
        </w:rPr>
        <w:t>6、我方完全理解贵方不一定将合同授予最低报价的供应商。</w:t>
      </w:r>
    </w:p>
    <w:p>
      <w:pPr>
        <w:pStyle w:val="29"/>
        <w:tabs>
          <w:tab w:val="left" w:pos="5580"/>
        </w:tabs>
        <w:spacing w:line="480" w:lineRule="auto"/>
        <w:ind w:right="360" w:firstLine="3570" w:firstLineChars="1700"/>
        <w:rPr>
          <w:rFonts w:hAnsi="宋体" w:cs="宋体"/>
          <w:highlight w:val="none"/>
        </w:rPr>
      </w:pPr>
    </w:p>
    <w:p>
      <w:pPr>
        <w:pStyle w:val="29"/>
        <w:tabs>
          <w:tab w:val="left" w:pos="5580"/>
        </w:tabs>
        <w:spacing w:line="480" w:lineRule="auto"/>
        <w:ind w:right="360" w:firstLine="3570" w:firstLineChars="1700"/>
        <w:rPr>
          <w:rFonts w:hAnsi="宋体" w:cs="宋体"/>
          <w:highlight w:val="none"/>
        </w:rPr>
      </w:pPr>
    </w:p>
    <w:p>
      <w:pPr>
        <w:pStyle w:val="29"/>
        <w:tabs>
          <w:tab w:val="left" w:pos="5580"/>
        </w:tabs>
        <w:spacing w:line="480" w:lineRule="auto"/>
        <w:ind w:right="360" w:firstLine="3570" w:firstLineChars="1700"/>
        <w:rPr>
          <w:rFonts w:hAnsi="宋体" w:cs="宋体"/>
          <w:highlight w:val="none"/>
          <w:u w:val="single"/>
        </w:rPr>
      </w:pPr>
      <w:r>
        <w:rPr>
          <w:rFonts w:hint="eastAsia" w:hAnsi="宋体" w:cs="宋体"/>
          <w:highlight w:val="none"/>
        </w:rPr>
        <w:t>供应商：</w:t>
      </w:r>
      <w:r>
        <w:rPr>
          <w:rFonts w:hAnsi="宋体" w:cs="宋体"/>
          <w:highlight w:val="none"/>
          <w:u w:val="single"/>
        </w:rPr>
        <w:t xml:space="preserve">                           </w:t>
      </w:r>
      <w:r>
        <w:rPr>
          <w:rFonts w:hint="eastAsia" w:hAnsi="宋体" w:cs="宋体"/>
          <w:highlight w:val="none"/>
          <w:u w:val="single"/>
        </w:rPr>
        <w:t>（盖章）</w:t>
      </w:r>
      <w:r>
        <w:rPr>
          <w:rFonts w:hAnsi="宋体" w:cs="宋体"/>
          <w:highlight w:val="none"/>
          <w:u w:val="single"/>
        </w:rPr>
        <w:t xml:space="preserve"> </w:t>
      </w:r>
    </w:p>
    <w:p>
      <w:pPr>
        <w:pStyle w:val="29"/>
        <w:tabs>
          <w:tab w:val="left" w:pos="5580"/>
        </w:tabs>
        <w:spacing w:line="480" w:lineRule="auto"/>
        <w:ind w:firstLine="420" w:firstLineChars="200"/>
        <w:rPr>
          <w:rFonts w:hAnsi="宋体" w:cs="宋体"/>
          <w:highlight w:val="none"/>
          <w:u w:val="single"/>
        </w:rPr>
      </w:pPr>
      <w:r>
        <w:rPr>
          <w:rFonts w:hAnsi="宋体" w:cs="宋体"/>
          <w:highlight w:val="none"/>
        </w:rPr>
        <w:t xml:space="preserve">                              </w:t>
      </w:r>
      <w:r>
        <w:rPr>
          <w:rFonts w:hint="eastAsia" w:hAnsi="宋体" w:cs="宋体"/>
          <w:highlight w:val="none"/>
        </w:rPr>
        <w:t>单位地址：</w:t>
      </w:r>
      <w:r>
        <w:rPr>
          <w:rFonts w:hAnsi="宋体" w:cs="宋体"/>
          <w:highlight w:val="none"/>
          <w:u w:val="single"/>
        </w:rPr>
        <w:tab/>
      </w:r>
      <w:r>
        <w:rPr>
          <w:rFonts w:hAnsi="宋体" w:cs="宋体"/>
          <w:highlight w:val="none"/>
          <w:u w:val="single"/>
        </w:rPr>
        <w:tab/>
      </w:r>
      <w:r>
        <w:rPr>
          <w:rFonts w:hAnsi="宋体" w:cs="宋体"/>
          <w:highlight w:val="none"/>
          <w:u w:val="single"/>
        </w:rPr>
        <w:tab/>
      </w:r>
      <w:r>
        <w:rPr>
          <w:rFonts w:hAnsi="宋体" w:cs="宋体"/>
          <w:highlight w:val="none"/>
          <w:u w:val="single"/>
        </w:rPr>
        <w:tab/>
      </w:r>
      <w:r>
        <w:rPr>
          <w:rFonts w:hAnsi="宋体" w:cs="宋体"/>
          <w:highlight w:val="none"/>
          <w:u w:val="single"/>
        </w:rPr>
        <w:tab/>
      </w:r>
      <w:r>
        <w:rPr>
          <w:rFonts w:hAnsi="宋体" w:cs="宋体"/>
          <w:highlight w:val="none"/>
          <w:u w:val="single"/>
        </w:rPr>
        <w:tab/>
      </w:r>
      <w:r>
        <w:rPr>
          <w:rFonts w:hAnsi="宋体" w:cs="宋体"/>
          <w:highlight w:val="none"/>
          <w:u w:val="single"/>
        </w:rPr>
        <w:t xml:space="preserve">      </w:t>
      </w:r>
    </w:p>
    <w:p>
      <w:pPr>
        <w:pStyle w:val="29"/>
        <w:tabs>
          <w:tab w:val="left" w:pos="5580"/>
        </w:tabs>
        <w:spacing w:line="480" w:lineRule="auto"/>
        <w:ind w:firstLine="420" w:firstLineChars="200"/>
        <w:rPr>
          <w:rFonts w:hAnsi="宋体" w:cs="宋体"/>
          <w:highlight w:val="none"/>
          <w:u w:val="single"/>
        </w:rPr>
      </w:pPr>
      <w:r>
        <w:rPr>
          <w:rFonts w:hAnsi="宋体" w:cs="宋体"/>
          <w:highlight w:val="none"/>
        </w:rPr>
        <w:t xml:space="preserve">                             </w:t>
      </w:r>
      <w:r>
        <w:rPr>
          <w:rFonts w:hint="eastAsia" w:hAnsi="宋体" w:cs="宋体"/>
          <w:highlight w:val="none"/>
        </w:rPr>
        <w:t>法定代表人或委托代理人：</w:t>
      </w:r>
      <w:r>
        <w:rPr>
          <w:rFonts w:hint="eastAsia" w:hAnsi="宋体" w:cs="宋体"/>
          <w:highlight w:val="none"/>
          <w:u w:val="single"/>
        </w:rPr>
        <w:t xml:space="preserve">         （签字或盖章）</w:t>
      </w:r>
    </w:p>
    <w:p>
      <w:pPr>
        <w:pStyle w:val="29"/>
        <w:tabs>
          <w:tab w:val="left" w:pos="5580"/>
        </w:tabs>
        <w:spacing w:line="480" w:lineRule="auto"/>
        <w:ind w:firstLine="3570" w:firstLineChars="1700"/>
        <w:rPr>
          <w:rFonts w:hAnsi="宋体" w:cs="宋体"/>
          <w:highlight w:val="none"/>
        </w:rPr>
      </w:pPr>
      <w:r>
        <w:rPr>
          <w:rFonts w:hint="eastAsia" w:hAnsi="宋体" w:cs="宋体"/>
          <w:highlight w:val="none"/>
        </w:rPr>
        <w:t>日期：</w:t>
      </w:r>
      <w:r>
        <w:rPr>
          <w:rFonts w:hAnsi="宋体" w:cs="宋体"/>
          <w:highlight w:val="none"/>
        </w:rPr>
        <w:t xml:space="preserve">          </w:t>
      </w:r>
      <w:r>
        <w:rPr>
          <w:rFonts w:hint="eastAsia" w:hAnsi="宋体" w:cs="宋体"/>
          <w:highlight w:val="none"/>
        </w:rPr>
        <w:t>年</w:t>
      </w:r>
      <w:r>
        <w:rPr>
          <w:rFonts w:hAnsi="宋体" w:cs="宋体"/>
          <w:highlight w:val="none"/>
        </w:rPr>
        <w:t xml:space="preserve">      </w:t>
      </w:r>
      <w:r>
        <w:rPr>
          <w:rFonts w:hint="eastAsia" w:hAnsi="宋体" w:cs="宋体"/>
          <w:highlight w:val="none"/>
        </w:rPr>
        <w:t>月</w:t>
      </w:r>
      <w:r>
        <w:rPr>
          <w:rFonts w:hAnsi="宋体" w:cs="宋体"/>
          <w:highlight w:val="none"/>
        </w:rPr>
        <w:t xml:space="preserve">      </w:t>
      </w:r>
      <w:r>
        <w:rPr>
          <w:rFonts w:hint="eastAsia" w:hAnsi="宋体" w:cs="宋体"/>
          <w:highlight w:val="none"/>
        </w:rPr>
        <w:t>日</w:t>
      </w:r>
    </w:p>
    <w:p>
      <w:pPr>
        <w:spacing w:line="360" w:lineRule="auto"/>
        <w:rPr>
          <w:rFonts w:ascii="宋体" w:cs="宋体"/>
          <w:sz w:val="24"/>
          <w:highlight w:val="none"/>
        </w:rPr>
      </w:pPr>
    </w:p>
    <w:p>
      <w:pPr>
        <w:spacing w:line="360" w:lineRule="auto"/>
        <w:rPr>
          <w:rFonts w:ascii="宋体" w:cs="宋体"/>
          <w:sz w:val="24"/>
          <w:highlight w:val="none"/>
        </w:rPr>
      </w:pPr>
    </w:p>
    <w:p>
      <w:pPr>
        <w:spacing w:line="360" w:lineRule="auto"/>
        <w:rPr>
          <w:rFonts w:ascii="宋体" w:cs="宋体"/>
          <w:sz w:val="24"/>
          <w:highlight w:val="none"/>
        </w:rPr>
      </w:pPr>
    </w:p>
    <w:p>
      <w:pPr>
        <w:spacing w:line="360" w:lineRule="auto"/>
        <w:rPr>
          <w:rFonts w:ascii="宋体" w:cs="宋体"/>
          <w:sz w:val="24"/>
          <w:highlight w:val="none"/>
        </w:rPr>
      </w:pPr>
    </w:p>
    <w:p>
      <w:pPr>
        <w:pStyle w:val="5"/>
        <w:numPr>
          <w:ilvl w:val="0"/>
          <w:numId w:val="14"/>
        </w:numPr>
        <w:rPr>
          <w:rFonts w:cs="宋体"/>
          <w:szCs w:val="28"/>
          <w:highlight w:val="none"/>
        </w:rPr>
      </w:pPr>
      <w:bookmarkStart w:id="151" w:name="_Toc476584434"/>
      <w:bookmarkStart w:id="152" w:name="_Toc1030"/>
      <w:bookmarkStart w:id="153" w:name="_Toc28034"/>
      <w:bookmarkStart w:id="154" w:name="_Toc27341"/>
      <w:r>
        <w:rPr>
          <w:rFonts w:hint="eastAsia" w:cs="宋体"/>
          <w:szCs w:val="28"/>
          <w:highlight w:val="none"/>
        </w:rPr>
        <w:t>服务报价表</w:t>
      </w:r>
      <w:bookmarkEnd w:id="151"/>
      <w:bookmarkEnd w:id="152"/>
      <w:bookmarkEnd w:id="153"/>
    </w:p>
    <w:p>
      <w:pPr>
        <w:pStyle w:val="4"/>
        <w:rPr>
          <w:rFonts w:hAnsi="宋体" w:cs="宋体"/>
          <w:highlight w:val="none"/>
        </w:rPr>
      </w:pPr>
    </w:p>
    <w:p>
      <w:pPr>
        <w:pStyle w:val="4"/>
        <w:spacing w:line="360" w:lineRule="auto"/>
        <w:ind w:firstLine="0"/>
        <w:rPr>
          <w:rFonts w:hAnsi="宋体" w:cs="宋体"/>
          <w:highlight w:val="none"/>
        </w:rPr>
      </w:pPr>
      <w:r>
        <w:rPr>
          <w:rFonts w:hint="eastAsia" w:hAnsi="宋体" w:cs="宋体"/>
          <w:highlight w:val="none"/>
        </w:rPr>
        <w:t>项目名称：安庆职业技术学院网络安全等级保护测评项目</w:t>
      </w:r>
    </w:p>
    <w:p>
      <w:pPr>
        <w:spacing w:line="360" w:lineRule="auto"/>
        <w:rPr>
          <w:rFonts w:hAnsi="宋体" w:cs="宋体"/>
          <w:highlight w:val="none"/>
        </w:rPr>
      </w:pPr>
      <w:r>
        <w:rPr>
          <w:rFonts w:hint="eastAsia" w:hAnsi="宋体" w:cs="宋体"/>
          <w:highlight w:val="none"/>
        </w:rPr>
        <w:t>项目编号：CG-AZ-2021-026</w:t>
      </w:r>
    </w:p>
    <w:p>
      <w:pPr>
        <w:rPr>
          <w:rFonts w:hAnsi="宋体" w:cs="宋体"/>
          <w:highlight w:val="none"/>
        </w:rPr>
      </w:pPr>
    </w:p>
    <w:tbl>
      <w:tblPr>
        <w:tblStyle w:val="60"/>
        <w:tblW w:w="0" w:type="auto"/>
        <w:jc w:val="center"/>
        <w:tblLayout w:type="fixed"/>
        <w:tblCellMar>
          <w:top w:w="0" w:type="dxa"/>
          <w:left w:w="108" w:type="dxa"/>
          <w:bottom w:w="0" w:type="dxa"/>
          <w:right w:w="108" w:type="dxa"/>
        </w:tblCellMar>
      </w:tblPr>
      <w:tblGrid>
        <w:gridCol w:w="836"/>
        <w:gridCol w:w="3335"/>
        <w:gridCol w:w="917"/>
        <w:gridCol w:w="657"/>
        <w:gridCol w:w="1610"/>
        <w:gridCol w:w="1586"/>
      </w:tblGrid>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r>
              <w:rPr>
                <w:rFonts w:hint="eastAsia" w:ascii="宋体" w:hAnsi="宋体" w:cs="宋体"/>
                <w:highlight w:val="none"/>
              </w:rPr>
              <w:t>序号</w:t>
            </w:r>
          </w:p>
        </w:tc>
        <w:tc>
          <w:tcPr>
            <w:tcW w:w="3335"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r>
              <w:rPr>
                <w:rFonts w:hint="eastAsia" w:ascii="宋体" w:hAnsi="宋体" w:cs="宋体"/>
                <w:highlight w:val="none"/>
              </w:rPr>
              <w:t>服务项目名称</w:t>
            </w:r>
          </w:p>
        </w:tc>
        <w:tc>
          <w:tcPr>
            <w:tcW w:w="917"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r>
              <w:rPr>
                <w:rFonts w:hint="eastAsia" w:ascii="宋体" w:hAnsi="宋体" w:cs="宋体"/>
                <w:highlight w:val="none"/>
              </w:rPr>
              <w:t>单位</w:t>
            </w:r>
          </w:p>
        </w:tc>
        <w:tc>
          <w:tcPr>
            <w:tcW w:w="657"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r>
              <w:rPr>
                <w:rFonts w:hint="eastAsia" w:ascii="宋体" w:hAnsi="宋体" w:cs="宋体"/>
                <w:highlight w:val="none"/>
              </w:rPr>
              <w:t>数量</w:t>
            </w:r>
          </w:p>
        </w:tc>
        <w:tc>
          <w:tcPr>
            <w:tcW w:w="1610" w:type="dxa"/>
            <w:tcBorders>
              <w:top w:val="single" w:color="auto" w:sz="4" w:space="0"/>
              <w:left w:val="single" w:color="auto" w:sz="4" w:space="0"/>
              <w:bottom w:val="nil"/>
              <w:right w:val="single" w:color="auto" w:sz="4" w:space="0"/>
            </w:tcBorders>
            <w:shd w:val="clear" w:color="auto" w:fill="FFFFFF"/>
            <w:vAlign w:val="center"/>
          </w:tcPr>
          <w:p>
            <w:pPr>
              <w:jc w:val="center"/>
              <w:rPr>
                <w:rFonts w:ascii="宋体" w:cs="宋体"/>
                <w:highlight w:val="none"/>
              </w:rPr>
            </w:pPr>
            <w:r>
              <w:rPr>
                <w:rFonts w:hint="eastAsia" w:ascii="宋体" w:hAnsi="宋体" w:cs="宋体"/>
                <w:highlight w:val="none"/>
              </w:rPr>
              <w:t>单价（元）</w:t>
            </w:r>
          </w:p>
        </w:tc>
        <w:tc>
          <w:tcPr>
            <w:tcW w:w="1586" w:type="dxa"/>
            <w:tcBorders>
              <w:top w:val="single" w:color="auto" w:sz="4" w:space="0"/>
              <w:left w:val="single" w:color="auto" w:sz="4" w:space="0"/>
              <w:bottom w:val="nil"/>
              <w:right w:val="single" w:color="auto" w:sz="4" w:space="0"/>
            </w:tcBorders>
            <w:shd w:val="clear" w:color="auto" w:fill="FFFFFF"/>
            <w:vAlign w:val="center"/>
          </w:tcPr>
          <w:p>
            <w:pPr>
              <w:jc w:val="center"/>
              <w:rPr>
                <w:rFonts w:ascii="宋体" w:cs="宋体"/>
                <w:highlight w:val="none"/>
              </w:rPr>
            </w:pPr>
            <w:r>
              <w:rPr>
                <w:rFonts w:hint="eastAsia" w:ascii="宋体" w:hAnsi="宋体" w:cs="宋体"/>
                <w:highlight w:val="none"/>
              </w:rPr>
              <w:t>合价（元）</w:t>
            </w: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nil"/>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nil"/>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nil"/>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567" w:hRule="atLeast"/>
          <w:jc w:val="center"/>
        </w:trPr>
        <w:tc>
          <w:tcPr>
            <w:tcW w:w="836" w:type="dxa"/>
            <w:tcBorders>
              <w:top w:val="single" w:color="auto" w:sz="4" w:space="0"/>
              <w:left w:val="single" w:color="auto" w:sz="4" w:space="0"/>
              <w:bottom w:val="single" w:color="auto" w:sz="4" w:space="0"/>
              <w:right w:val="nil"/>
            </w:tcBorders>
            <w:shd w:val="clear" w:color="auto" w:fill="FFFFFF"/>
            <w:vAlign w:val="center"/>
          </w:tcPr>
          <w:p>
            <w:pPr>
              <w:jc w:val="center"/>
              <w:rPr>
                <w:rFonts w:ascii="宋体" w:cs="宋体"/>
                <w:highlight w:val="none"/>
              </w:rPr>
            </w:pPr>
          </w:p>
        </w:tc>
        <w:tc>
          <w:tcPr>
            <w:tcW w:w="3335" w:type="dxa"/>
            <w:tcBorders>
              <w:top w:val="single" w:color="auto" w:sz="4" w:space="0"/>
              <w:left w:val="single" w:color="auto" w:sz="4" w:space="0"/>
              <w:bottom w:val="single" w:color="auto" w:sz="4" w:space="0"/>
              <w:right w:val="nil"/>
            </w:tcBorders>
            <w:shd w:val="clear" w:color="auto" w:fill="FFFFFF"/>
          </w:tcPr>
          <w:p>
            <w:pPr>
              <w:rPr>
                <w:rFonts w:ascii="宋体" w:cs="宋体"/>
                <w:highlight w:val="none"/>
              </w:rPr>
            </w:pPr>
          </w:p>
        </w:tc>
        <w:tc>
          <w:tcPr>
            <w:tcW w:w="917" w:type="dxa"/>
            <w:tcBorders>
              <w:top w:val="single" w:color="auto" w:sz="4" w:space="0"/>
              <w:left w:val="single" w:color="auto" w:sz="4" w:space="0"/>
              <w:bottom w:val="single" w:color="auto" w:sz="4" w:space="0"/>
              <w:right w:val="nil"/>
            </w:tcBorders>
            <w:shd w:val="clear" w:color="auto" w:fill="FFFFFF"/>
          </w:tcPr>
          <w:p>
            <w:pPr>
              <w:rPr>
                <w:rFonts w:ascii="宋体" w:cs="宋体"/>
                <w:highlight w:val="none"/>
              </w:rPr>
            </w:pPr>
          </w:p>
        </w:tc>
        <w:tc>
          <w:tcPr>
            <w:tcW w:w="657" w:type="dxa"/>
            <w:tcBorders>
              <w:top w:val="single" w:color="auto" w:sz="4" w:space="0"/>
              <w:left w:val="single" w:color="auto" w:sz="4" w:space="0"/>
              <w:bottom w:val="single" w:color="auto" w:sz="4" w:space="0"/>
              <w:right w:val="nil"/>
            </w:tcBorders>
            <w:shd w:val="clear" w:color="auto" w:fill="FFFFFF"/>
          </w:tcPr>
          <w:p>
            <w:pPr>
              <w:rPr>
                <w:rFonts w:ascii="宋体" w:cs="宋体"/>
                <w:highlight w:val="none"/>
              </w:rPr>
            </w:pPr>
          </w:p>
        </w:tc>
        <w:tc>
          <w:tcPr>
            <w:tcW w:w="1610" w:type="dxa"/>
            <w:tcBorders>
              <w:top w:val="single" w:color="auto" w:sz="4" w:space="0"/>
              <w:left w:val="single" w:color="auto" w:sz="4" w:space="0"/>
              <w:bottom w:val="single" w:color="auto" w:sz="4" w:space="0"/>
              <w:right w:val="single" w:color="auto" w:sz="4" w:space="0"/>
            </w:tcBorders>
            <w:shd w:val="clear" w:color="auto" w:fill="FFFFFF"/>
          </w:tcPr>
          <w:p>
            <w:pPr>
              <w:rPr>
                <w:rFonts w:ascii="宋体" w:cs="宋体"/>
                <w:highlight w:val="none"/>
              </w:rPr>
            </w:pPr>
          </w:p>
        </w:tc>
        <w:tc>
          <w:tcPr>
            <w:tcW w:w="1586" w:type="dxa"/>
            <w:tcBorders>
              <w:top w:val="single" w:color="auto" w:sz="4" w:space="0"/>
              <w:left w:val="single" w:color="auto" w:sz="4" w:space="0"/>
              <w:bottom w:val="single" w:color="auto" w:sz="4" w:space="0"/>
              <w:right w:val="single" w:color="auto" w:sz="4" w:space="0"/>
            </w:tcBorders>
            <w:shd w:val="clear" w:color="auto" w:fill="FFFFFF"/>
          </w:tcPr>
          <w:p>
            <w:pPr>
              <w:rPr>
                <w:rFonts w:ascii="宋体" w:cs="宋体"/>
                <w:highlight w:val="none"/>
              </w:rPr>
            </w:pPr>
          </w:p>
        </w:tc>
      </w:tr>
      <w:tr>
        <w:tblPrEx>
          <w:tblCellMar>
            <w:top w:w="0" w:type="dxa"/>
            <w:left w:w="108" w:type="dxa"/>
            <w:bottom w:w="0" w:type="dxa"/>
            <w:right w:w="108" w:type="dxa"/>
          </w:tblCellMar>
        </w:tblPrEx>
        <w:trPr>
          <w:trHeight w:val="837" w:hRule="atLeast"/>
          <w:jc w:val="center"/>
        </w:trPr>
        <w:tc>
          <w:tcPr>
            <w:tcW w:w="836" w:type="dxa"/>
            <w:tcBorders>
              <w:top w:val="single" w:color="auto" w:sz="4" w:space="0"/>
              <w:left w:val="single" w:color="auto" w:sz="4" w:space="0"/>
              <w:bottom w:val="single" w:color="auto" w:sz="4" w:space="0"/>
              <w:right w:val="nil"/>
            </w:tcBorders>
            <w:shd w:val="clear" w:color="auto" w:fill="FFFFFF"/>
            <w:vAlign w:val="center"/>
          </w:tcPr>
          <w:p>
            <w:pPr>
              <w:jc w:val="center"/>
              <w:rPr>
                <w:rFonts w:ascii="宋体" w:cs="宋体"/>
                <w:highlight w:val="none"/>
              </w:rPr>
            </w:pPr>
            <w:r>
              <w:rPr>
                <w:rFonts w:hint="eastAsia" w:ascii="宋体" w:hAnsi="宋体" w:cs="宋体"/>
                <w:highlight w:val="none"/>
              </w:rPr>
              <w:t>总价</w:t>
            </w:r>
          </w:p>
        </w:tc>
        <w:tc>
          <w:tcPr>
            <w:tcW w:w="8105"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rPr>
                <w:rFonts w:ascii="宋体" w:cs="宋体"/>
                <w:highlight w:val="none"/>
              </w:rPr>
            </w:pPr>
            <w:r>
              <w:rPr>
                <w:rFonts w:hint="eastAsia" w:ascii="宋体" w:hAnsi="宋体"/>
                <w:szCs w:val="21"/>
                <w:highlight w:val="none"/>
              </w:rPr>
              <w:t>小写：</w:t>
            </w:r>
            <w:r>
              <w:rPr>
                <w:rFonts w:ascii="宋体" w:hAnsi="宋体"/>
                <w:szCs w:val="21"/>
                <w:highlight w:val="none"/>
              </w:rPr>
              <w:t xml:space="preserve">           </w:t>
            </w:r>
            <w:r>
              <w:rPr>
                <w:rFonts w:hint="eastAsia" w:ascii="宋体" w:hAnsi="宋体"/>
                <w:szCs w:val="21"/>
                <w:highlight w:val="none"/>
              </w:rPr>
              <w:t>元</w:t>
            </w:r>
          </w:p>
        </w:tc>
      </w:tr>
    </w:tbl>
    <w:p>
      <w:pPr>
        <w:spacing w:line="360" w:lineRule="auto"/>
        <w:rPr>
          <w:rFonts w:ascii="宋体" w:cs="宋体"/>
          <w:szCs w:val="21"/>
          <w:highlight w:val="none"/>
        </w:rPr>
      </w:pPr>
    </w:p>
    <w:p>
      <w:pPr>
        <w:spacing w:line="360" w:lineRule="auto"/>
        <w:rPr>
          <w:rFonts w:ascii="宋体" w:cs="宋体"/>
          <w:szCs w:val="21"/>
          <w:highlight w:val="none"/>
        </w:rPr>
      </w:pPr>
      <w:r>
        <w:rPr>
          <w:rFonts w:hint="eastAsia" w:ascii="宋体" w:hAnsi="宋体" w:cs="宋体"/>
          <w:szCs w:val="21"/>
          <w:highlight w:val="none"/>
        </w:rPr>
        <w:t>注：供应商可根据实际情况自行填写，但必须注明具体的细目内容，栏目不够可自行添加。</w:t>
      </w:r>
    </w:p>
    <w:p>
      <w:pPr>
        <w:spacing w:line="360" w:lineRule="auto"/>
        <w:rPr>
          <w:rFonts w:ascii="宋体" w:cs="宋体"/>
          <w:szCs w:val="21"/>
          <w:highlight w:val="none"/>
        </w:rPr>
      </w:pPr>
    </w:p>
    <w:p>
      <w:pPr>
        <w:spacing w:line="360" w:lineRule="auto"/>
        <w:rPr>
          <w:rFonts w:ascii="宋体" w:cs="宋体"/>
          <w:szCs w:val="21"/>
          <w:highlight w:val="none"/>
        </w:rPr>
      </w:pPr>
    </w:p>
    <w:p>
      <w:pPr>
        <w:spacing w:line="360" w:lineRule="auto"/>
        <w:ind w:firstLine="3561" w:firstLineChars="1696"/>
        <w:rPr>
          <w:rFonts w:ascii="宋体" w:cs="宋体"/>
          <w:szCs w:val="21"/>
          <w:highlight w:val="none"/>
        </w:rPr>
      </w:pPr>
      <w:r>
        <w:rPr>
          <w:rFonts w:hint="eastAsia" w:ascii="宋体" w:hAnsi="宋体" w:cs="宋体"/>
          <w:szCs w:val="21"/>
          <w:highlight w:val="none"/>
        </w:rPr>
        <w:t>供应商：</w:t>
      </w:r>
      <w:r>
        <w:rPr>
          <w:rFonts w:ascii="宋体" w:hAnsi="宋体" w:cs="宋体"/>
          <w:szCs w:val="21"/>
          <w:highlight w:val="none"/>
          <w:u w:val="single"/>
        </w:rPr>
        <w:t xml:space="preserve">                             </w:t>
      </w:r>
      <w:r>
        <w:rPr>
          <w:rFonts w:hint="eastAsia" w:ascii="宋体" w:hAnsi="宋体" w:cs="宋体"/>
          <w:szCs w:val="21"/>
          <w:highlight w:val="none"/>
        </w:rPr>
        <w:t>（盖章）</w:t>
      </w:r>
    </w:p>
    <w:p>
      <w:pPr>
        <w:spacing w:line="360" w:lineRule="auto"/>
        <w:ind w:firstLine="3561" w:firstLineChars="1696"/>
        <w:rPr>
          <w:rFonts w:ascii="宋体" w:cs="宋体"/>
          <w:szCs w:val="21"/>
          <w:highlight w:val="none"/>
        </w:rPr>
      </w:pPr>
    </w:p>
    <w:p>
      <w:pPr>
        <w:spacing w:line="360" w:lineRule="auto"/>
        <w:ind w:firstLine="3570" w:firstLineChars="1700"/>
        <w:rPr>
          <w:rFonts w:ascii="宋体" w:hAnsi="宋体" w:cs="宋体"/>
          <w:szCs w:val="21"/>
          <w:highlight w:val="none"/>
        </w:rPr>
      </w:pPr>
      <w:r>
        <w:rPr>
          <w:rFonts w:hint="eastAsia" w:ascii="宋体" w:hAnsi="宋体" w:cs="宋体"/>
          <w:szCs w:val="21"/>
          <w:highlight w:val="none"/>
        </w:rPr>
        <w:t>法定代表人或委托代理人：</w:t>
      </w:r>
      <w:r>
        <w:rPr>
          <w:rFonts w:hint="eastAsia" w:ascii="宋体" w:hAnsi="宋体" w:cs="宋体"/>
          <w:szCs w:val="21"/>
          <w:highlight w:val="none"/>
          <w:u w:val="single"/>
        </w:rPr>
        <w:t xml:space="preserve">        </w:t>
      </w:r>
      <w:r>
        <w:rPr>
          <w:rFonts w:hint="eastAsia" w:ascii="宋体" w:hAnsi="宋体" w:cs="宋体"/>
          <w:szCs w:val="21"/>
          <w:highlight w:val="none"/>
        </w:rPr>
        <w:t>（签字或盖章）</w:t>
      </w:r>
    </w:p>
    <w:p>
      <w:pPr>
        <w:spacing w:line="360" w:lineRule="auto"/>
        <w:ind w:firstLine="3570" w:firstLineChars="1700"/>
        <w:rPr>
          <w:rFonts w:ascii="宋体" w:cs="宋体"/>
          <w:szCs w:val="21"/>
          <w:highlight w:val="none"/>
        </w:rPr>
      </w:pPr>
    </w:p>
    <w:p>
      <w:pPr>
        <w:spacing w:line="360" w:lineRule="auto"/>
        <w:ind w:firstLine="3570" w:firstLineChars="1700"/>
        <w:rPr>
          <w:rFonts w:ascii="宋体" w:cs="宋体"/>
          <w:szCs w:val="21"/>
          <w:highlight w:val="none"/>
        </w:rPr>
      </w:pPr>
      <w:r>
        <w:rPr>
          <w:rFonts w:hint="eastAsia" w:ascii="宋体" w:hAnsi="宋体" w:cs="宋体"/>
          <w:szCs w:val="21"/>
          <w:highlight w:val="none"/>
        </w:rPr>
        <w:t>日</w:t>
      </w:r>
      <w:r>
        <w:rPr>
          <w:rFonts w:ascii="宋体" w:hAnsi="宋体" w:cs="宋体"/>
          <w:szCs w:val="21"/>
          <w:highlight w:val="none"/>
        </w:rPr>
        <w:t xml:space="preserve">  </w:t>
      </w:r>
      <w:r>
        <w:rPr>
          <w:rFonts w:hint="eastAsia" w:ascii="宋体" w:hAnsi="宋体" w:cs="宋体"/>
          <w:szCs w:val="21"/>
          <w:highlight w:val="none"/>
        </w:rPr>
        <w:t>期：</w:t>
      </w:r>
      <w:r>
        <w:rPr>
          <w:rFonts w:ascii="宋体" w:hAnsi="宋体" w:cs="宋体"/>
          <w:szCs w:val="21"/>
          <w:highlight w:val="none"/>
          <w:u w:val="single"/>
        </w:rPr>
        <w:t xml:space="preserve">             </w:t>
      </w:r>
      <w:r>
        <w:rPr>
          <w:rFonts w:hint="eastAsia" w:ascii="宋体" w:hAnsi="宋体" w:cs="宋体"/>
          <w:szCs w:val="21"/>
          <w:highlight w:val="none"/>
        </w:rPr>
        <w:t>年</w:t>
      </w:r>
      <w:r>
        <w:rPr>
          <w:rFonts w:ascii="宋体" w:hAnsi="宋体" w:cs="宋体"/>
          <w:szCs w:val="21"/>
          <w:highlight w:val="none"/>
          <w:u w:val="single"/>
        </w:rPr>
        <w:t xml:space="preserve">         </w:t>
      </w:r>
      <w:r>
        <w:rPr>
          <w:rFonts w:hint="eastAsia" w:ascii="宋体" w:hAnsi="宋体" w:cs="宋体"/>
          <w:szCs w:val="21"/>
          <w:highlight w:val="none"/>
        </w:rPr>
        <w:t>月</w:t>
      </w:r>
      <w:r>
        <w:rPr>
          <w:rFonts w:ascii="宋体" w:hAnsi="宋体" w:cs="宋体"/>
          <w:szCs w:val="21"/>
          <w:highlight w:val="none"/>
          <w:u w:val="single"/>
        </w:rPr>
        <w:t xml:space="preserve"> </w:t>
      </w:r>
      <w:r>
        <w:rPr>
          <w:rFonts w:hint="eastAsia" w:ascii="宋体" w:hAnsi="宋体" w:cs="宋体"/>
          <w:szCs w:val="21"/>
          <w:highlight w:val="none"/>
          <w:u w:val="single"/>
        </w:rPr>
        <w:t>　</w:t>
      </w:r>
      <w:r>
        <w:rPr>
          <w:rFonts w:ascii="宋体" w:hAnsi="宋体" w:cs="宋体"/>
          <w:szCs w:val="21"/>
          <w:highlight w:val="none"/>
          <w:u w:val="single"/>
        </w:rPr>
        <w:t xml:space="preserve">     </w:t>
      </w:r>
      <w:r>
        <w:rPr>
          <w:rFonts w:hint="eastAsia" w:ascii="宋体" w:hAnsi="宋体" w:cs="宋体"/>
          <w:szCs w:val="21"/>
          <w:highlight w:val="none"/>
        </w:rPr>
        <w:t>日</w:t>
      </w:r>
    </w:p>
    <w:p>
      <w:pPr>
        <w:spacing w:line="360" w:lineRule="auto"/>
        <w:rPr>
          <w:rFonts w:ascii="宋体" w:cs="宋体"/>
          <w:b/>
          <w:bCs/>
          <w:sz w:val="24"/>
          <w:highlight w:val="none"/>
        </w:rPr>
      </w:pPr>
    </w:p>
    <w:p>
      <w:pPr>
        <w:spacing w:line="360" w:lineRule="auto"/>
        <w:rPr>
          <w:rFonts w:ascii="宋体" w:cs="宋体"/>
          <w:b/>
          <w:bCs/>
          <w:sz w:val="24"/>
          <w:highlight w:val="none"/>
        </w:rPr>
      </w:pPr>
    </w:p>
    <w:p>
      <w:pPr>
        <w:spacing w:line="360" w:lineRule="auto"/>
        <w:rPr>
          <w:rFonts w:ascii="宋体" w:cs="宋体"/>
          <w:b/>
          <w:bCs/>
          <w:sz w:val="24"/>
          <w:highlight w:val="none"/>
        </w:rPr>
      </w:pPr>
    </w:p>
    <w:p>
      <w:pPr>
        <w:spacing w:line="360" w:lineRule="auto"/>
        <w:rPr>
          <w:rFonts w:ascii="宋体" w:cs="宋体"/>
          <w:b/>
          <w:bCs/>
          <w:sz w:val="24"/>
          <w:highlight w:val="none"/>
        </w:rPr>
      </w:pPr>
    </w:p>
    <w:p>
      <w:pPr>
        <w:spacing w:line="360" w:lineRule="auto"/>
        <w:rPr>
          <w:rFonts w:ascii="宋体" w:cs="宋体"/>
          <w:b/>
          <w:bCs/>
          <w:sz w:val="24"/>
          <w:highlight w:val="none"/>
        </w:rPr>
      </w:pPr>
    </w:p>
    <w:p>
      <w:pPr>
        <w:spacing w:line="360" w:lineRule="auto"/>
        <w:rPr>
          <w:rFonts w:ascii="宋体" w:cs="宋体"/>
          <w:b/>
          <w:bCs/>
          <w:sz w:val="24"/>
          <w:highlight w:val="none"/>
        </w:rPr>
      </w:pPr>
    </w:p>
    <w:p>
      <w:pPr>
        <w:pStyle w:val="5"/>
        <w:rPr>
          <w:rFonts w:cs="宋体"/>
          <w:szCs w:val="28"/>
          <w:highlight w:val="none"/>
        </w:rPr>
      </w:pPr>
      <w:r>
        <w:rPr>
          <w:rFonts w:cs="宋体"/>
          <w:b w:val="0"/>
          <w:bCs/>
          <w:szCs w:val="28"/>
          <w:highlight w:val="none"/>
        </w:rPr>
        <w:t xml:space="preserve">  </w:t>
      </w:r>
      <w:bookmarkEnd w:id="154"/>
      <w:bookmarkStart w:id="155" w:name="_Toc11099"/>
      <w:bookmarkStart w:id="156" w:name="_Toc476584435"/>
      <w:bookmarkStart w:id="157" w:name="_Toc18853"/>
      <w:bookmarkStart w:id="158" w:name="_Toc388283751"/>
      <w:r>
        <w:rPr>
          <w:rFonts w:hint="eastAsia" w:cs="宋体"/>
          <w:szCs w:val="28"/>
          <w:highlight w:val="none"/>
        </w:rPr>
        <w:t>三、服务内容及质量要求响应表</w:t>
      </w:r>
      <w:bookmarkEnd w:id="155"/>
      <w:bookmarkEnd w:id="156"/>
      <w:bookmarkEnd w:id="157"/>
    </w:p>
    <w:p>
      <w:pPr>
        <w:spacing w:line="360" w:lineRule="auto"/>
        <w:rPr>
          <w:rFonts w:ascii="宋体" w:cs="宋体"/>
          <w:b/>
          <w:szCs w:val="21"/>
          <w:highlight w:val="none"/>
        </w:rPr>
      </w:pPr>
      <w:r>
        <w:rPr>
          <w:rFonts w:hint="eastAsia" w:ascii="宋体" w:hAnsi="宋体" w:cs="宋体"/>
          <w:szCs w:val="21"/>
          <w:highlight w:val="none"/>
        </w:rPr>
        <w:t>项目名称：</w:t>
      </w:r>
      <w:r>
        <w:rPr>
          <w:rFonts w:hint="eastAsia" w:hAnsi="宋体" w:cs="宋体"/>
          <w:highlight w:val="none"/>
        </w:rPr>
        <w:t>安庆职业技术学院网络安全等级保护测评项目</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389"/>
        <w:gridCol w:w="2850"/>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647" w:type="dxa"/>
            <w:vAlign w:val="center"/>
          </w:tcPr>
          <w:p>
            <w:pPr>
              <w:spacing w:line="360" w:lineRule="auto"/>
              <w:jc w:val="center"/>
              <w:rPr>
                <w:rFonts w:ascii="宋体" w:cs="宋体"/>
                <w:szCs w:val="21"/>
                <w:highlight w:val="none"/>
              </w:rPr>
            </w:pPr>
            <w:r>
              <w:rPr>
                <w:rFonts w:hint="eastAsia" w:ascii="宋体" w:hAnsi="宋体" w:cs="宋体"/>
                <w:szCs w:val="21"/>
                <w:highlight w:val="none"/>
              </w:rPr>
              <w:t>序号</w:t>
            </w:r>
          </w:p>
        </w:tc>
        <w:tc>
          <w:tcPr>
            <w:tcW w:w="3389" w:type="dxa"/>
            <w:vAlign w:val="center"/>
          </w:tcPr>
          <w:p>
            <w:pPr>
              <w:spacing w:line="360" w:lineRule="auto"/>
              <w:jc w:val="center"/>
              <w:rPr>
                <w:rFonts w:ascii="宋体" w:cs="宋体"/>
                <w:szCs w:val="21"/>
                <w:highlight w:val="none"/>
              </w:rPr>
            </w:pPr>
            <w:r>
              <w:rPr>
                <w:rFonts w:hint="eastAsia" w:ascii="宋体" w:hAnsi="宋体" w:cs="宋体"/>
                <w:szCs w:val="21"/>
                <w:highlight w:val="none"/>
              </w:rPr>
              <w:t>磋商服务内容质量要求</w:t>
            </w:r>
          </w:p>
        </w:tc>
        <w:tc>
          <w:tcPr>
            <w:tcW w:w="2850" w:type="dxa"/>
            <w:vAlign w:val="center"/>
          </w:tcPr>
          <w:p>
            <w:pPr>
              <w:spacing w:line="360" w:lineRule="auto"/>
              <w:jc w:val="center"/>
              <w:rPr>
                <w:rFonts w:ascii="宋体" w:cs="宋体"/>
                <w:szCs w:val="21"/>
                <w:highlight w:val="none"/>
              </w:rPr>
            </w:pPr>
            <w:r>
              <w:rPr>
                <w:rFonts w:hint="eastAsia" w:ascii="宋体" w:hAnsi="宋体" w:cs="宋体"/>
                <w:szCs w:val="21"/>
                <w:highlight w:val="none"/>
              </w:rPr>
              <w:t>响应服务内容质量要求</w:t>
            </w:r>
          </w:p>
        </w:tc>
        <w:tc>
          <w:tcPr>
            <w:tcW w:w="2209" w:type="dxa"/>
            <w:vAlign w:val="center"/>
          </w:tcPr>
          <w:p>
            <w:pPr>
              <w:spacing w:line="360" w:lineRule="auto"/>
              <w:jc w:val="center"/>
              <w:rPr>
                <w:rFonts w:ascii="宋体" w:cs="宋体"/>
                <w:szCs w:val="21"/>
                <w:highlight w:val="none"/>
              </w:rPr>
            </w:pPr>
            <w:r>
              <w:rPr>
                <w:rFonts w:hint="eastAsia" w:ascii="宋体" w:hAnsi="宋体" w:cs="宋体"/>
                <w:szCs w:val="21"/>
                <w:highlight w:val="none"/>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647" w:type="dxa"/>
            <w:vAlign w:val="center"/>
          </w:tcPr>
          <w:p>
            <w:pPr>
              <w:spacing w:line="360" w:lineRule="auto"/>
              <w:jc w:val="center"/>
              <w:rPr>
                <w:rFonts w:ascii="宋体" w:cs="宋体"/>
                <w:spacing w:val="-4"/>
                <w:szCs w:val="21"/>
                <w:highlight w:val="none"/>
              </w:rPr>
            </w:pPr>
          </w:p>
        </w:tc>
        <w:tc>
          <w:tcPr>
            <w:tcW w:w="3389" w:type="dxa"/>
            <w:vAlign w:val="center"/>
          </w:tcPr>
          <w:p>
            <w:pPr>
              <w:spacing w:line="360" w:lineRule="auto"/>
              <w:jc w:val="center"/>
              <w:rPr>
                <w:rFonts w:ascii="宋体" w:cs="宋体"/>
                <w:b/>
                <w:szCs w:val="21"/>
                <w:highlight w:val="none"/>
              </w:rPr>
            </w:pPr>
          </w:p>
        </w:tc>
        <w:tc>
          <w:tcPr>
            <w:tcW w:w="2850" w:type="dxa"/>
            <w:vAlign w:val="center"/>
          </w:tcPr>
          <w:p>
            <w:pPr>
              <w:spacing w:line="360" w:lineRule="auto"/>
              <w:jc w:val="center"/>
              <w:rPr>
                <w:rFonts w:ascii="宋体" w:cs="宋体"/>
                <w:b/>
                <w:szCs w:val="21"/>
                <w:highlight w:val="none"/>
              </w:rPr>
            </w:pPr>
          </w:p>
        </w:tc>
        <w:tc>
          <w:tcPr>
            <w:tcW w:w="2209" w:type="dxa"/>
            <w:vAlign w:val="center"/>
          </w:tcPr>
          <w:p>
            <w:pPr>
              <w:spacing w:line="360" w:lineRule="auto"/>
              <w:jc w:val="center"/>
              <w:rPr>
                <w:rFonts w:ascii="宋体" w:cs="宋体"/>
                <w:b/>
                <w:szCs w:val="21"/>
                <w:highlight w:val="none"/>
              </w:rPr>
            </w:pPr>
          </w:p>
        </w:tc>
      </w:tr>
    </w:tbl>
    <w:p>
      <w:pPr>
        <w:spacing w:line="360" w:lineRule="auto"/>
        <w:rPr>
          <w:rFonts w:ascii="宋体" w:cs="宋体"/>
          <w:szCs w:val="21"/>
          <w:highlight w:val="none"/>
        </w:rPr>
      </w:pPr>
      <w:r>
        <w:rPr>
          <w:rFonts w:hint="eastAsia" w:ascii="宋体" w:hAnsi="宋体" w:cs="宋体"/>
          <w:b/>
          <w:szCs w:val="21"/>
          <w:highlight w:val="none"/>
        </w:rPr>
        <w:t>注：</w:t>
      </w:r>
      <w:r>
        <w:rPr>
          <w:rFonts w:ascii="宋体" w:hAnsi="宋体" w:cs="宋体"/>
          <w:szCs w:val="21"/>
          <w:highlight w:val="none"/>
        </w:rPr>
        <w:t>1</w:t>
      </w:r>
      <w:r>
        <w:rPr>
          <w:rFonts w:hint="eastAsia" w:ascii="宋体" w:hAnsi="宋体" w:cs="宋体"/>
          <w:szCs w:val="21"/>
          <w:highlight w:val="none"/>
        </w:rPr>
        <w:t>、供应商必须将自己所投服务真实、准确地填入以上表格中。供应商可根据实际情况自行调整格式，但必须注明具体的细目内容。</w:t>
      </w:r>
    </w:p>
    <w:p>
      <w:pPr>
        <w:tabs>
          <w:tab w:val="left" w:pos="1815"/>
        </w:tabs>
        <w:spacing w:line="360" w:lineRule="auto"/>
        <w:ind w:left="1" w:firstLine="417" w:firstLineChars="199"/>
        <w:rPr>
          <w:rFonts w:ascii="宋体" w:cs="宋体"/>
          <w:szCs w:val="21"/>
          <w:highlight w:val="none"/>
        </w:rPr>
      </w:pPr>
      <w:r>
        <w:rPr>
          <w:rFonts w:ascii="宋体" w:hAnsi="宋体" w:cs="宋体"/>
          <w:szCs w:val="21"/>
          <w:highlight w:val="none"/>
        </w:rPr>
        <w:t>2</w:t>
      </w:r>
      <w:r>
        <w:rPr>
          <w:rFonts w:hint="eastAsia" w:ascii="宋体" w:hAnsi="宋体" w:cs="宋体"/>
          <w:szCs w:val="21"/>
          <w:highlight w:val="none"/>
        </w:rPr>
        <w:t>、供应商必须根据自己所投服务与“</w:t>
      </w:r>
      <w:r>
        <w:rPr>
          <w:rFonts w:hint="eastAsia" w:ascii="宋体" w:hAnsi="宋体" w:cs="宋体"/>
          <w:b/>
          <w:szCs w:val="21"/>
          <w:highlight w:val="none"/>
        </w:rPr>
        <w:t>服务需求及技术要求</w:t>
      </w:r>
      <w:r>
        <w:rPr>
          <w:rFonts w:hint="eastAsia" w:ascii="宋体" w:hAnsi="宋体" w:cs="宋体"/>
          <w:szCs w:val="21"/>
          <w:highlight w:val="none"/>
        </w:rPr>
        <w:t>”的差异情况，实事求是地填写“响应情况”（优于、满足、不满足） 。</w:t>
      </w:r>
    </w:p>
    <w:p>
      <w:pPr>
        <w:tabs>
          <w:tab w:val="left" w:pos="1815"/>
        </w:tabs>
        <w:spacing w:line="360" w:lineRule="auto"/>
        <w:ind w:firstLine="420" w:firstLineChars="200"/>
        <w:rPr>
          <w:rFonts w:ascii="宋体" w:cs="宋体"/>
          <w:strike/>
          <w:color w:val="FF0000"/>
          <w:szCs w:val="21"/>
          <w:highlight w:val="none"/>
        </w:rPr>
      </w:pPr>
    </w:p>
    <w:p>
      <w:pPr>
        <w:tabs>
          <w:tab w:val="left" w:pos="1815"/>
        </w:tabs>
        <w:spacing w:line="360" w:lineRule="auto"/>
        <w:ind w:firstLine="420" w:firstLineChars="200"/>
        <w:rPr>
          <w:rFonts w:ascii="宋体" w:cs="宋体"/>
          <w:strike/>
          <w:color w:val="FF0000"/>
          <w:szCs w:val="21"/>
          <w:highlight w:val="none"/>
        </w:rPr>
      </w:pPr>
    </w:p>
    <w:p>
      <w:pPr>
        <w:tabs>
          <w:tab w:val="left" w:pos="1815"/>
        </w:tabs>
        <w:spacing w:line="360" w:lineRule="auto"/>
        <w:ind w:firstLine="420" w:firstLineChars="200"/>
        <w:rPr>
          <w:rFonts w:ascii="宋体" w:cs="宋体"/>
          <w:strike/>
          <w:color w:val="FF0000"/>
          <w:szCs w:val="21"/>
          <w:highlight w:val="none"/>
        </w:rPr>
      </w:pPr>
    </w:p>
    <w:p>
      <w:pPr>
        <w:tabs>
          <w:tab w:val="left" w:pos="1815"/>
        </w:tabs>
        <w:spacing w:line="360" w:lineRule="auto"/>
        <w:ind w:firstLine="420" w:firstLineChars="200"/>
        <w:rPr>
          <w:rFonts w:ascii="宋体" w:cs="宋体"/>
          <w:szCs w:val="21"/>
          <w:highlight w:val="none"/>
        </w:rPr>
      </w:pPr>
    </w:p>
    <w:p>
      <w:pPr>
        <w:spacing w:line="360" w:lineRule="auto"/>
        <w:ind w:firstLine="3561" w:firstLineChars="1696"/>
        <w:rPr>
          <w:rFonts w:ascii="宋体" w:cs="宋体"/>
          <w:szCs w:val="21"/>
          <w:highlight w:val="none"/>
        </w:rPr>
      </w:pPr>
      <w:r>
        <w:rPr>
          <w:rFonts w:hint="eastAsia" w:ascii="宋体" w:hAnsi="宋体" w:cs="宋体"/>
          <w:szCs w:val="21"/>
          <w:highlight w:val="none"/>
        </w:rPr>
        <w:t>供应商：</w:t>
      </w:r>
      <w:r>
        <w:rPr>
          <w:rFonts w:ascii="宋体" w:hAnsi="宋体" w:cs="宋体"/>
          <w:szCs w:val="21"/>
          <w:highlight w:val="none"/>
          <w:u w:val="single"/>
        </w:rPr>
        <w:t xml:space="preserve">                             </w:t>
      </w:r>
      <w:r>
        <w:rPr>
          <w:rFonts w:hint="eastAsia" w:ascii="宋体" w:hAnsi="宋体" w:cs="宋体"/>
          <w:szCs w:val="21"/>
          <w:highlight w:val="none"/>
        </w:rPr>
        <w:t>（盖章）</w:t>
      </w:r>
    </w:p>
    <w:p>
      <w:pPr>
        <w:spacing w:line="360" w:lineRule="auto"/>
        <w:ind w:firstLine="3561" w:firstLineChars="1696"/>
        <w:rPr>
          <w:rFonts w:ascii="宋体" w:cs="宋体"/>
          <w:szCs w:val="21"/>
          <w:highlight w:val="none"/>
        </w:rPr>
      </w:pPr>
    </w:p>
    <w:p>
      <w:pPr>
        <w:spacing w:line="360" w:lineRule="auto"/>
        <w:ind w:firstLine="3570" w:firstLineChars="1700"/>
        <w:rPr>
          <w:rFonts w:ascii="宋体" w:hAnsi="宋体" w:cs="宋体"/>
          <w:szCs w:val="21"/>
          <w:highlight w:val="none"/>
        </w:rPr>
      </w:pPr>
      <w:r>
        <w:rPr>
          <w:rFonts w:hint="eastAsia" w:ascii="宋体" w:hAnsi="宋体" w:cs="宋体"/>
          <w:szCs w:val="21"/>
          <w:highlight w:val="none"/>
        </w:rPr>
        <w:t>法定代表人或委托代理人：</w:t>
      </w:r>
      <w:r>
        <w:rPr>
          <w:rFonts w:hint="eastAsia" w:ascii="宋体" w:hAnsi="宋体" w:cs="宋体"/>
          <w:szCs w:val="21"/>
          <w:highlight w:val="none"/>
          <w:u w:val="single"/>
        </w:rPr>
        <w:t xml:space="preserve">          </w:t>
      </w:r>
      <w:r>
        <w:rPr>
          <w:rFonts w:hint="eastAsia" w:ascii="宋体" w:hAnsi="宋体" w:cs="宋体"/>
          <w:szCs w:val="21"/>
          <w:highlight w:val="none"/>
        </w:rPr>
        <w:t>（签字或盖章）</w:t>
      </w:r>
    </w:p>
    <w:p>
      <w:pPr>
        <w:spacing w:line="360" w:lineRule="auto"/>
        <w:ind w:firstLine="3570" w:firstLineChars="1700"/>
        <w:rPr>
          <w:rFonts w:ascii="宋体" w:cs="宋体"/>
          <w:szCs w:val="21"/>
          <w:highlight w:val="none"/>
        </w:rPr>
      </w:pPr>
    </w:p>
    <w:p>
      <w:pPr>
        <w:spacing w:line="360" w:lineRule="auto"/>
        <w:ind w:firstLine="3570" w:firstLineChars="1700"/>
        <w:rPr>
          <w:rFonts w:ascii="宋体" w:hAnsi="宋体" w:cs="宋体"/>
          <w:szCs w:val="21"/>
          <w:highlight w:val="none"/>
        </w:rPr>
      </w:pPr>
      <w:r>
        <w:rPr>
          <w:rFonts w:hint="eastAsia" w:ascii="宋体" w:hAnsi="宋体" w:cs="宋体"/>
          <w:szCs w:val="21"/>
          <w:highlight w:val="none"/>
        </w:rPr>
        <w:t>日</w:t>
      </w:r>
      <w:r>
        <w:rPr>
          <w:rFonts w:ascii="宋体" w:hAnsi="宋体" w:cs="宋体"/>
          <w:szCs w:val="21"/>
          <w:highlight w:val="none"/>
        </w:rPr>
        <w:t xml:space="preserve">  </w:t>
      </w:r>
      <w:r>
        <w:rPr>
          <w:rFonts w:hint="eastAsia" w:ascii="宋体" w:hAnsi="宋体" w:cs="宋体"/>
          <w:szCs w:val="21"/>
          <w:highlight w:val="none"/>
        </w:rPr>
        <w:t>期：</w:t>
      </w:r>
      <w:r>
        <w:rPr>
          <w:rFonts w:ascii="宋体" w:hAnsi="宋体" w:cs="宋体"/>
          <w:szCs w:val="21"/>
          <w:highlight w:val="none"/>
          <w:u w:val="single"/>
        </w:rPr>
        <w:t xml:space="preserve">             </w:t>
      </w:r>
      <w:r>
        <w:rPr>
          <w:rFonts w:hint="eastAsia" w:ascii="宋体" w:hAnsi="宋体" w:cs="宋体"/>
          <w:szCs w:val="21"/>
          <w:highlight w:val="none"/>
        </w:rPr>
        <w:t>年</w:t>
      </w:r>
      <w:r>
        <w:rPr>
          <w:rFonts w:ascii="宋体" w:hAnsi="宋体" w:cs="宋体"/>
          <w:szCs w:val="21"/>
          <w:highlight w:val="none"/>
          <w:u w:val="single"/>
        </w:rPr>
        <w:t xml:space="preserve">         </w:t>
      </w:r>
      <w:r>
        <w:rPr>
          <w:rFonts w:hint="eastAsia" w:ascii="宋体" w:hAnsi="宋体" w:cs="宋体"/>
          <w:szCs w:val="21"/>
          <w:highlight w:val="none"/>
        </w:rPr>
        <w:t>月</w:t>
      </w:r>
      <w:r>
        <w:rPr>
          <w:rFonts w:ascii="宋体" w:hAnsi="宋体" w:cs="宋体"/>
          <w:szCs w:val="21"/>
          <w:highlight w:val="none"/>
          <w:u w:val="single"/>
        </w:rPr>
        <w:t xml:space="preserve"> </w:t>
      </w:r>
      <w:r>
        <w:rPr>
          <w:rFonts w:hint="eastAsia" w:ascii="宋体" w:hAnsi="宋体" w:cs="宋体"/>
          <w:szCs w:val="21"/>
          <w:highlight w:val="none"/>
          <w:u w:val="single"/>
        </w:rPr>
        <w:t>　</w:t>
      </w:r>
      <w:r>
        <w:rPr>
          <w:rFonts w:ascii="宋体" w:hAnsi="宋体" w:cs="宋体"/>
          <w:szCs w:val="21"/>
          <w:highlight w:val="none"/>
          <w:u w:val="single"/>
        </w:rPr>
        <w:t xml:space="preserve">     </w:t>
      </w:r>
      <w:r>
        <w:rPr>
          <w:rFonts w:hint="eastAsia" w:ascii="宋体" w:hAnsi="宋体" w:cs="宋体"/>
          <w:szCs w:val="21"/>
          <w:highlight w:val="none"/>
        </w:rPr>
        <w:t>日</w:t>
      </w:r>
    </w:p>
    <w:p>
      <w:pPr>
        <w:spacing w:line="360" w:lineRule="auto"/>
        <w:ind w:firstLine="3570" w:firstLineChars="1700"/>
        <w:rPr>
          <w:rFonts w:ascii="宋体" w:hAnsi="宋体" w:cs="宋体"/>
          <w:szCs w:val="21"/>
          <w:highlight w:val="none"/>
        </w:rPr>
      </w:pPr>
    </w:p>
    <w:p>
      <w:pPr>
        <w:spacing w:line="360" w:lineRule="auto"/>
        <w:ind w:firstLine="3570" w:firstLineChars="1700"/>
        <w:rPr>
          <w:rFonts w:ascii="宋体" w:hAnsi="宋体" w:cs="宋体"/>
          <w:szCs w:val="21"/>
          <w:highlight w:val="none"/>
        </w:rPr>
      </w:pPr>
    </w:p>
    <w:bookmarkEnd w:id="158"/>
    <w:p>
      <w:pPr>
        <w:pStyle w:val="5"/>
        <w:numPr>
          <w:ilvl w:val="0"/>
          <w:numId w:val="15"/>
        </w:numPr>
        <w:rPr>
          <w:rFonts w:cs="宋体"/>
          <w:szCs w:val="28"/>
          <w:highlight w:val="none"/>
        </w:rPr>
      </w:pPr>
      <w:bookmarkStart w:id="159" w:name="_Toc5836"/>
      <w:bookmarkStart w:id="160" w:name="_Toc476584436"/>
      <w:bookmarkStart w:id="161" w:name="_Toc15038"/>
      <w:r>
        <w:rPr>
          <w:rFonts w:hint="eastAsia" w:cs="宋体"/>
          <w:szCs w:val="28"/>
          <w:highlight w:val="none"/>
        </w:rPr>
        <w:t>最后报价表</w:t>
      </w:r>
      <w:bookmarkEnd w:id="159"/>
    </w:p>
    <w:p>
      <w:pPr>
        <w:pStyle w:val="4"/>
        <w:rPr>
          <w:highlight w:val="none"/>
        </w:rPr>
      </w:pPr>
    </w:p>
    <w:p>
      <w:pPr>
        <w:spacing w:line="360" w:lineRule="auto"/>
        <w:rPr>
          <w:sz w:val="24"/>
          <w:highlight w:val="none"/>
        </w:rPr>
      </w:pPr>
      <w:r>
        <w:rPr>
          <w:rFonts w:hint="eastAsia" w:ascii="宋体" w:hAnsi="宋体"/>
          <w:szCs w:val="21"/>
          <w:highlight w:val="none"/>
        </w:rPr>
        <w:t>项目名称：安庆职业技术学院网络安全等级保护测评项目</w:t>
      </w:r>
      <w:r>
        <w:rPr>
          <w:rFonts w:ascii="宋体" w:hAnsi="宋体"/>
          <w:szCs w:val="21"/>
          <w:highlight w:val="none"/>
        </w:rPr>
        <w:t xml:space="preserve">  </w:t>
      </w:r>
    </w:p>
    <w:p>
      <w:pPr>
        <w:spacing w:line="360" w:lineRule="auto"/>
        <w:rPr>
          <w:rFonts w:ascii="宋体" w:hAnsi="宋体"/>
          <w:szCs w:val="21"/>
          <w:highlight w:val="none"/>
        </w:rPr>
      </w:pPr>
      <w:r>
        <w:rPr>
          <w:rFonts w:hint="eastAsia" w:ascii="宋体" w:hAnsi="宋体"/>
          <w:szCs w:val="21"/>
          <w:highlight w:val="none"/>
        </w:rPr>
        <w:t>项目编号：CG-AZ-2021-026</w:t>
      </w:r>
      <w:r>
        <w:rPr>
          <w:rFonts w:ascii="宋体" w:hAnsi="宋体"/>
          <w:szCs w:val="21"/>
          <w:highlight w:val="none"/>
        </w:rPr>
        <w:t xml:space="preserve"> </w:t>
      </w:r>
    </w:p>
    <w:p>
      <w:pPr>
        <w:spacing w:line="360" w:lineRule="auto"/>
        <w:jc w:val="right"/>
        <w:rPr>
          <w:rFonts w:ascii="宋体" w:hAnsi="宋体"/>
          <w:szCs w:val="21"/>
          <w:highlight w:val="none"/>
          <w:lang w:val="zh-CN"/>
        </w:rPr>
      </w:pPr>
      <w:r>
        <w:rPr>
          <w:rFonts w:hint="eastAsia" w:ascii="宋体" w:hAnsi="宋体"/>
          <w:szCs w:val="21"/>
          <w:highlight w:val="none"/>
          <w:lang w:val="zh-CN"/>
        </w:rPr>
        <w:t>金额单位：人民币（元）</w:t>
      </w:r>
    </w:p>
    <w:tbl>
      <w:tblPr>
        <w:tblStyle w:val="60"/>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7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463" w:type="dxa"/>
            <w:vMerge w:val="restart"/>
            <w:vAlign w:val="center"/>
          </w:tcPr>
          <w:p>
            <w:pPr>
              <w:spacing w:line="400" w:lineRule="exact"/>
              <w:jc w:val="center"/>
              <w:rPr>
                <w:sz w:val="24"/>
                <w:highlight w:val="none"/>
              </w:rPr>
            </w:pPr>
            <w:r>
              <w:rPr>
                <w:rFonts w:hint="eastAsia" w:hAnsi="宋体"/>
                <w:sz w:val="24"/>
                <w:highlight w:val="none"/>
              </w:rPr>
              <w:t>最后报价</w:t>
            </w:r>
          </w:p>
        </w:tc>
        <w:tc>
          <w:tcPr>
            <w:tcW w:w="7641" w:type="dxa"/>
            <w:vAlign w:val="center"/>
          </w:tcPr>
          <w:p>
            <w:pPr>
              <w:wordWrap w:val="0"/>
              <w:spacing w:line="400" w:lineRule="exact"/>
              <w:rPr>
                <w:sz w:val="24"/>
                <w:highlight w:val="none"/>
              </w:rPr>
            </w:pPr>
            <w:r>
              <w:rPr>
                <w:rFonts w:hint="eastAsia" w:hAnsi="宋体"/>
                <w:sz w:val="24"/>
                <w:highlight w:val="none"/>
              </w:rPr>
              <w:t>大写：</w:t>
            </w:r>
            <w:r>
              <w:rPr>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463" w:type="dxa"/>
            <w:vMerge w:val="continue"/>
            <w:vAlign w:val="center"/>
          </w:tcPr>
          <w:p>
            <w:pPr>
              <w:spacing w:line="400" w:lineRule="exact"/>
              <w:jc w:val="center"/>
              <w:rPr>
                <w:sz w:val="24"/>
                <w:highlight w:val="none"/>
              </w:rPr>
            </w:pPr>
          </w:p>
        </w:tc>
        <w:tc>
          <w:tcPr>
            <w:tcW w:w="7641" w:type="dxa"/>
            <w:vAlign w:val="center"/>
          </w:tcPr>
          <w:p>
            <w:pPr>
              <w:wordWrap w:val="0"/>
              <w:rPr>
                <w:rFonts w:hAnsi="宋体"/>
                <w:sz w:val="24"/>
                <w:highlight w:val="none"/>
              </w:rPr>
            </w:pPr>
            <w:r>
              <w:rPr>
                <w:rFonts w:hint="eastAsia" w:hAnsi="宋体"/>
                <w:sz w:val="24"/>
                <w:highlight w:val="none"/>
              </w:rPr>
              <w:t>小写：</w:t>
            </w:r>
            <w:r>
              <w:rPr>
                <w:rFonts w:hAnsi="宋体"/>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exact"/>
          <w:jc w:val="center"/>
        </w:trPr>
        <w:tc>
          <w:tcPr>
            <w:tcW w:w="1463" w:type="dxa"/>
            <w:vAlign w:val="center"/>
          </w:tcPr>
          <w:p>
            <w:pPr>
              <w:spacing w:line="400" w:lineRule="exact"/>
              <w:ind w:firstLine="120" w:firstLineChars="50"/>
              <w:jc w:val="center"/>
              <w:rPr>
                <w:sz w:val="24"/>
                <w:highlight w:val="none"/>
              </w:rPr>
            </w:pPr>
            <w:r>
              <w:rPr>
                <w:rFonts w:hint="eastAsia"/>
                <w:sz w:val="24"/>
                <w:highlight w:val="none"/>
              </w:rPr>
              <w:t>服务期</w:t>
            </w:r>
          </w:p>
        </w:tc>
        <w:tc>
          <w:tcPr>
            <w:tcW w:w="7641" w:type="dxa"/>
            <w:vAlign w:val="center"/>
          </w:tcPr>
          <w:p>
            <w:pPr>
              <w:spacing w:line="400" w:lineRule="exact"/>
              <w:rPr>
                <w:sz w:val="24"/>
                <w:highlight w:val="none"/>
              </w:rPr>
            </w:pPr>
            <w:r>
              <w:rPr>
                <w:rFonts w:hint="eastAsia"/>
                <w:b/>
                <w:bCs/>
                <w:sz w:val="24"/>
                <w:highlight w:val="none"/>
              </w:rPr>
              <w:t>合同签字生效后</w:t>
            </w:r>
            <w:r>
              <w:rPr>
                <w:rFonts w:hint="eastAsia"/>
                <w:b/>
                <w:bCs/>
                <w:sz w:val="24"/>
                <w:highlight w:val="none"/>
                <w:u w:val="single"/>
              </w:rPr>
              <w:t xml:space="preserve">     </w:t>
            </w:r>
            <w:r>
              <w:rPr>
                <w:rFonts w:hint="eastAsia"/>
                <w:b/>
                <w:bCs/>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9104" w:type="dxa"/>
            <w:gridSpan w:val="2"/>
            <w:vAlign w:val="center"/>
          </w:tcPr>
          <w:p>
            <w:pPr>
              <w:spacing w:line="400" w:lineRule="exact"/>
              <w:rPr>
                <w:rFonts w:hAnsi="宋体"/>
                <w:sz w:val="24"/>
                <w:highlight w:val="none"/>
              </w:rPr>
            </w:pPr>
            <w:r>
              <w:rPr>
                <w:rFonts w:hint="eastAsia" w:hAnsi="宋体"/>
                <w:sz w:val="24"/>
                <w:highlight w:val="none"/>
              </w:rPr>
              <w:t>备注：</w:t>
            </w:r>
          </w:p>
          <w:p>
            <w:pPr>
              <w:spacing w:line="400" w:lineRule="exact"/>
              <w:rPr>
                <w:rFonts w:hAnsi="宋体"/>
                <w:sz w:val="24"/>
                <w:highlight w:val="none"/>
              </w:rPr>
            </w:pPr>
            <w:r>
              <w:rPr>
                <w:rFonts w:hAnsi="宋体"/>
                <w:sz w:val="24"/>
                <w:highlight w:val="none"/>
              </w:rPr>
              <w:t>1</w:t>
            </w:r>
            <w:r>
              <w:rPr>
                <w:rFonts w:hint="eastAsia" w:hAnsi="宋体"/>
                <w:sz w:val="24"/>
                <w:highlight w:val="none"/>
              </w:rPr>
              <w:t>、分项报价按总报价的同等比例下浮；</w:t>
            </w:r>
          </w:p>
          <w:p>
            <w:pPr>
              <w:spacing w:line="400" w:lineRule="exact"/>
              <w:rPr>
                <w:rFonts w:hAnsi="宋体"/>
                <w:sz w:val="24"/>
                <w:highlight w:val="none"/>
              </w:rPr>
            </w:pPr>
            <w:r>
              <w:rPr>
                <w:rFonts w:hAnsi="宋体"/>
                <w:sz w:val="24"/>
                <w:highlight w:val="none"/>
              </w:rPr>
              <w:t>2</w:t>
            </w:r>
            <w:r>
              <w:rPr>
                <w:rFonts w:hint="eastAsia" w:hAnsi="宋体"/>
                <w:sz w:val="24"/>
                <w:highlight w:val="none"/>
              </w:rPr>
              <w:t>、最后报价保留两位小数，小数点后第三位四舍五入。</w:t>
            </w:r>
          </w:p>
        </w:tc>
      </w:tr>
    </w:tbl>
    <w:p>
      <w:pPr>
        <w:spacing w:line="360" w:lineRule="auto"/>
        <w:rPr>
          <w:rFonts w:ascii="宋体"/>
          <w:b/>
          <w:sz w:val="24"/>
          <w:highlight w:val="none"/>
        </w:rPr>
      </w:pPr>
    </w:p>
    <w:p>
      <w:pPr>
        <w:spacing w:line="360" w:lineRule="auto"/>
        <w:rPr>
          <w:rFonts w:ascii="宋体"/>
          <w:b/>
          <w:sz w:val="24"/>
          <w:highlight w:val="none"/>
        </w:rPr>
      </w:pPr>
      <w:r>
        <w:rPr>
          <w:rFonts w:hint="eastAsia" w:ascii="宋体" w:hAnsi="宋体"/>
          <w:b/>
          <w:sz w:val="24"/>
          <w:highlight w:val="none"/>
        </w:rPr>
        <w:t>此表请各供应商多准备几份，并加盖供应商公章及法定代表人或委托代理人签字或盖章，以便在磋商最后报价时使用。（此表由供应商磋商现场递交）</w:t>
      </w:r>
    </w:p>
    <w:p>
      <w:pPr>
        <w:spacing w:line="360" w:lineRule="auto"/>
        <w:ind w:firstLine="3465" w:firstLineChars="1650"/>
        <w:rPr>
          <w:rFonts w:ascii="宋体"/>
          <w:szCs w:val="21"/>
          <w:highlight w:val="none"/>
        </w:rPr>
      </w:pPr>
    </w:p>
    <w:p>
      <w:pPr>
        <w:spacing w:line="360" w:lineRule="auto"/>
        <w:ind w:firstLine="3465" w:firstLineChars="1650"/>
        <w:rPr>
          <w:rFonts w:ascii="宋体"/>
          <w:szCs w:val="21"/>
          <w:highlight w:val="none"/>
        </w:rPr>
      </w:pPr>
      <w:r>
        <w:rPr>
          <w:rFonts w:hint="eastAsia" w:ascii="宋体" w:hAnsi="宋体"/>
          <w:szCs w:val="21"/>
          <w:highlight w:val="none"/>
        </w:rPr>
        <w:t>供应商：</w:t>
      </w:r>
      <w:r>
        <w:rPr>
          <w:rFonts w:ascii="宋体" w:hAnsi="宋体"/>
          <w:szCs w:val="21"/>
          <w:highlight w:val="none"/>
          <w:u w:val="single"/>
        </w:rPr>
        <w:t xml:space="preserve">                          </w:t>
      </w:r>
      <w:r>
        <w:rPr>
          <w:rFonts w:hint="eastAsia" w:ascii="宋体" w:hAnsi="宋体"/>
          <w:szCs w:val="21"/>
          <w:highlight w:val="none"/>
        </w:rPr>
        <w:t>（盖章）</w:t>
      </w:r>
    </w:p>
    <w:p>
      <w:pPr>
        <w:spacing w:line="360" w:lineRule="auto"/>
        <w:ind w:firstLine="3561" w:firstLineChars="1696"/>
        <w:rPr>
          <w:rFonts w:ascii="宋体"/>
          <w:szCs w:val="21"/>
          <w:highlight w:val="none"/>
        </w:rPr>
      </w:pPr>
    </w:p>
    <w:p>
      <w:pPr>
        <w:spacing w:line="360" w:lineRule="auto"/>
        <w:ind w:firstLine="3465" w:firstLineChars="1650"/>
        <w:rPr>
          <w:rFonts w:ascii="宋体"/>
          <w:szCs w:val="21"/>
          <w:highlight w:val="none"/>
        </w:rPr>
      </w:pPr>
      <w:r>
        <w:rPr>
          <w:rFonts w:hint="eastAsia" w:ascii="宋体" w:hAnsi="宋体"/>
          <w:szCs w:val="21"/>
          <w:highlight w:val="none"/>
        </w:rPr>
        <w:t>法定代表人或委托代理人：</w:t>
      </w:r>
      <w:r>
        <w:rPr>
          <w:rFonts w:ascii="宋体" w:hAnsi="宋体"/>
          <w:szCs w:val="21"/>
          <w:highlight w:val="none"/>
          <w:u w:val="single"/>
        </w:rPr>
        <w:t xml:space="preserve">           </w:t>
      </w:r>
      <w:r>
        <w:rPr>
          <w:rFonts w:hint="eastAsia" w:ascii="宋体" w:hAnsi="宋体"/>
          <w:szCs w:val="21"/>
          <w:highlight w:val="none"/>
        </w:rPr>
        <w:t>（签字或盖章）</w:t>
      </w:r>
    </w:p>
    <w:p>
      <w:pPr>
        <w:spacing w:line="360" w:lineRule="auto"/>
        <w:ind w:firstLine="3570" w:firstLineChars="1700"/>
        <w:rPr>
          <w:rFonts w:ascii="宋体"/>
          <w:szCs w:val="21"/>
          <w:highlight w:val="none"/>
        </w:rPr>
      </w:pPr>
    </w:p>
    <w:p>
      <w:pPr>
        <w:spacing w:line="360" w:lineRule="auto"/>
        <w:ind w:firstLine="3570" w:firstLineChars="1700"/>
        <w:rPr>
          <w:rFonts w:ascii="宋体"/>
          <w:szCs w:val="21"/>
          <w:highlight w:val="none"/>
        </w:rPr>
      </w:pPr>
      <w:r>
        <w:rPr>
          <w:rFonts w:hint="eastAsia"/>
          <w:szCs w:val="21"/>
          <w:highlight w:val="none"/>
        </w:rPr>
        <w:t>日</w:t>
      </w:r>
      <w:r>
        <w:rPr>
          <w:szCs w:val="21"/>
          <w:highlight w:val="none"/>
        </w:rPr>
        <w:t xml:space="preserve">  </w:t>
      </w:r>
      <w:r>
        <w:rPr>
          <w:rFonts w:hint="eastAsia"/>
          <w:szCs w:val="21"/>
          <w:highlight w:val="none"/>
        </w:rPr>
        <w:t>期：</w:t>
      </w:r>
      <w:r>
        <w:rPr>
          <w:szCs w:val="21"/>
          <w:highlight w:val="none"/>
          <w:u w:val="single"/>
        </w:rPr>
        <w:t xml:space="preserve">         </w:t>
      </w:r>
      <w:r>
        <w:rPr>
          <w:rFonts w:hint="eastAsia"/>
          <w:szCs w:val="21"/>
          <w:highlight w:val="none"/>
        </w:rPr>
        <w:t>年</w:t>
      </w:r>
      <w:r>
        <w:rPr>
          <w:szCs w:val="21"/>
          <w:highlight w:val="none"/>
          <w:u w:val="single"/>
        </w:rPr>
        <w:t xml:space="preserve">        </w:t>
      </w:r>
      <w:r>
        <w:rPr>
          <w:rFonts w:hint="eastAsia"/>
          <w:szCs w:val="21"/>
          <w:highlight w:val="none"/>
        </w:rPr>
        <w:t>月</w:t>
      </w:r>
      <w:r>
        <w:rPr>
          <w:szCs w:val="21"/>
          <w:highlight w:val="none"/>
          <w:u w:val="single"/>
        </w:rPr>
        <w:t xml:space="preserve"> </w:t>
      </w:r>
      <w:r>
        <w:rPr>
          <w:rFonts w:hint="eastAsia"/>
          <w:szCs w:val="21"/>
          <w:highlight w:val="none"/>
          <w:u w:val="single"/>
        </w:rPr>
        <w:t>　</w:t>
      </w:r>
      <w:r>
        <w:rPr>
          <w:szCs w:val="21"/>
          <w:highlight w:val="none"/>
          <w:u w:val="single"/>
        </w:rPr>
        <w:t xml:space="preserve">     </w:t>
      </w:r>
      <w:r>
        <w:rPr>
          <w:rFonts w:hint="eastAsia"/>
          <w:szCs w:val="21"/>
          <w:highlight w:val="none"/>
        </w:rPr>
        <w:t>日</w:t>
      </w:r>
    </w:p>
    <w:p>
      <w:pPr>
        <w:spacing w:line="360" w:lineRule="auto"/>
        <w:ind w:left="2833" w:leftChars="1349"/>
        <w:rPr>
          <w:rFonts w:ascii="宋体"/>
          <w:szCs w:val="21"/>
          <w:highlight w:val="none"/>
        </w:rPr>
      </w:pPr>
    </w:p>
    <w:p>
      <w:pPr>
        <w:spacing w:line="360" w:lineRule="auto"/>
        <w:ind w:left="2833" w:leftChars="1349"/>
        <w:rPr>
          <w:rFonts w:ascii="宋体"/>
          <w:szCs w:val="21"/>
          <w:highlight w:val="none"/>
        </w:rPr>
      </w:pPr>
    </w:p>
    <w:p>
      <w:pPr>
        <w:spacing w:line="360" w:lineRule="auto"/>
        <w:ind w:left="2833" w:leftChars="1349"/>
        <w:rPr>
          <w:rFonts w:ascii="宋体"/>
          <w:szCs w:val="21"/>
          <w:highlight w:val="none"/>
        </w:rPr>
      </w:pPr>
    </w:p>
    <w:p>
      <w:pPr>
        <w:spacing w:line="360" w:lineRule="auto"/>
        <w:ind w:left="2833" w:leftChars="1349"/>
        <w:rPr>
          <w:rFonts w:ascii="宋体"/>
          <w:szCs w:val="21"/>
          <w:highlight w:val="none"/>
        </w:rPr>
      </w:pPr>
    </w:p>
    <w:p>
      <w:pPr>
        <w:spacing w:line="360" w:lineRule="auto"/>
        <w:ind w:left="2833" w:leftChars="1349"/>
        <w:rPr>
          <w:rFonts w:ascii="宋体"/>
          <w:szCs w:val="21"/>
          <w:highlight w:val="none"/>
        </w:rPr>
      </w:pPr>
    </w:p>
    <w:p>
      <w:pPr>
        <w:pStyle w:val="5"/>
        <w:rPr>
          <w:rFonts w:cs="宋体"/>
          <w:szCs w:val="28"/>
          <w:highlight w:val="none"/>
          <w:bdr w:val="single" w:color="auto" w:sz="4" w:space="0"/>
        </w:rPr>
      </w:pPr>
      <w:bookmarkStart w:id="162" w:name="_Toc6619"/>
      <w:r>
        <w:rPr>
          <w:rFonts w:hint="eastAsia" w:cs="宋体"/>
          <w:szCs w:val="28"/>
          <w:highlight w:val="none"/>
        </w:rPr>
        <w:t>五、服务方案</w:t>
      </w:r>
      <w:bookmarkEnd w:id="160"/>
      <w:bookmarkEnd w:id="161"/>
      <w:bookmarkEnd w:id="162"/>
    </w:p>
    <w:p>
      <w:pPr>
        <w:spacing w:line="360" w:lineRule="auto"/>
        <w:ind w:firstLine="420" w:firstLineChars="200"/>
        <w:rPr>
          <w:rFonts w:ascii="宋体" w:cs="宋体"/>
          <w:szCs w:val="21"/>
          <w:highlight w:val="none"/>
        </w:rPr>
      </w:pPr>
      <w:r>
        <w:rPr>
          <w:rFonts w:hint="eastAsia" w:ascii="宋体" w:hAnsi="宋体" w:cs="宋体"/>
          <w:szCs w:val="21"/>
          <w:highlight w:val="none"/>
        </w:rPr>
        <w:t>供应商依据第三章“服务需求及技术要求”自行提供。</w:t>
      </w: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spacing w:line="360" w:lineRule="auto"/>
        <w:ind w:firstLine="420" w:firstLineChars="200"/>
        <w:rPr>
          <w:rFonts w:ascii="宋体" w:cs="宋体"/>
          <w:szCs w:val="21"/>
          <w:highlight w:val="none"/>
        </w:rPr>
      </w:pPr>
    </w:p>
    <w:p>
      <w:pPr>
        <w:pStyle w:val="5"/>
        <w:pageBreakBefore/>
        <w:rPr>
          <w:rFonts w:cs="宋体"/>
          <w:szCs w:val="28"/>
          <w:highlight w:val="none"/>
        </w:rPr>
      </w:pPr>
      <w:bookmarkStart w:id="163" w:name="_Toc17267"/>
      <w:bookmarkStart w:id="164" w:name="_Toc19236"/>
      <w:bookmarkStart w:id="165" w:name="_Toc476584437"/>
      <w:r>
        <w:rPr>
          <w:rFonts w:hint="eastAsia" w:cs="宋体"/>
          <w:szCs w:val="28"/>
          <w:highlight w:val="none"/>
        </w:rPr>
        <w:t>六、诚信响应承诺书</w:t>
      </w:r>
      <w:bookmarkEnd w:id="163"/>
      <w:bookmarkEnd w:id="164"/>
      <w:bookmarkEnd w:id="165"/>
    </w:p>
    <w:p>
      <w:pPr>
        <w:rPr>
          <w:rFonts w:ascii="宋体" w:cs="宋体"/>
          <w:b/>
          <w:bCs/>
          <w:sz w:val="24"/>
          <w:highlight w:val="none"/>
        </w:rPr>
      </w:pPr>
    </w:p>
    <w:p>
      <w:pPr>
        <w:spacing w:line="440" w:lineRule="exact"/>
        <w:ind w:firstLine="482" w:firstLineChars="200"/>
        <w:rPr>
          <w:rFonts w:ascii="宋体" w:cs="宋体"/>
          <w:b/>
          <w:sz w:val="24"/>
          <w:highlight w:val="none"/>
        </w:rPr>
      </w:pPr>
      <w:r>
        <w:rPr>
          <w:rFonts w:hint="eastAsia" w:ascii="宋体" w:hAnsi="宋体" w:cs="宋体"/>
          <w:b/>
          <w:sz w:val="24"/>
          <w:highlight w:val="none"/>
        </w:rPr>
        <w:t>本单位郑重声明：</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一、将遵循公开、公正和诚实信用的原则自愿参加</w:t>
      </w:r>
      <w:r>
        <w:rPr>
          <w:rFonts w:hint="eastAsia" w:ascii="仿宋" w:hAnsi="仿宋" w:eastAsia="仿宋" w:cs="仿宋"/>
          <w:b/>
          <w:bCs/>
          <w:sz w:val="24"/>
          <w:highlight w:val="none"/>
          <w:u w:val="single"/>
        </w:rPr>
        <w:t>安庆职业技术学院网络安全等级保护测评项目</w:t>
      </w:r>
      <w:r>
        <w:rPr>
          <w:rFonts w:hint="eastAsia" w:ascii="仿宋" w:hAnsi="仿宋" w:eastAsia="仿宋" w:cs="仿宋"/>
          <w:b/>
          <w:bCs/>
          <w:sz w:val="24"/>
          <w:highlight w:val="none"/>
        </w:rPr>
        <w:t>的竞争性磋商；</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二、所提供的一切材料都是真实、有效、合法的；</w:t>
      </w:r>
      <w:r>
        <w:rPr>
          <w:rFonts w:ascii="仿宋" w:hAnsi="仿宋" w:eastAsia="仿宋" w:cs="仿宋"/>
          <w:b/>
          <w:bCs/>
          <w:sz w:val="24"/>
          <w:highlight w:val="none"/>
        </w:rPr>
        <w:t xml:space="preserve">  </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三、不出借、转让资质证书，不让他人挂靠磋商，不以他人名义磋商或者以其他方式弄虚作假，骗取成交；</w:t>
      </w:r>
      <w:r>
        <w:rPr>
          <w:rFonts w:ascii="仿宋" w:hAnsi="仿宋" w:eastAsia="仿宋" w:cs="仿宋"/>
          <w:b/>
          <w:bCs/>
          <w:sz w:val="24"/>
          <w:highlight w:val="none"/>
        </w:rPr>
        <w:t xml:space="preserve">  </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四、不与其他磋商供应商相互串通响应报价，不排挤其他磋商供应商的公平竞争、损害采购人的合法权益；</w:t>
      </w:r>
      <w:r>
        <w:rPr>
          <w:rFonts w:ascii="仿宋" w:hAnsi="仿宋" w:eastAsia="仿宋" w:cs="仿宋"/>
          <w:b/>
          <w:bCs/>
          <w:sz w:val="24"/>
          <w:highlight w:val="none"/>
        </w:rPr>
        <w:t xml:space="preserve">  </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五、不与采购单位或其他磋商供应商串通磋商，损害国家利益、社会公共利益或者他人的合法权益；</w:t>
      </w:r>
      <w:r>
        <w:rPr>
          <w:rFonts w:ascii="仿宋" w:hAnsi="仿宋" w:eastAsia="仿宋" w:cs="仿宋"/>
          <w:b/>
          <w:bCs/>
          <w:sz w:val="24"/>
          <w:highlight w:val="none"/>
        </w:rPr>
        <w:t xml:space="preserve">  </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六、严格遵守开标现场纪律，服从监管人员管理；</w:t>
      </w:r>
      <w:r>
        <w:rPr>
          <w:rFonts w:ascii="仿宋" w:hAnsi="仿宋" w:eastAsia="仿宋" w:cs="仿宋"/>
          <w:b/>
          <w:bCs/>
          <w:sz w:val="24"/>
          <w:highlight w:val="none"/>
        </w:rPr>
        <w:t xml:space="preserve">  </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七、保证成交后不转包，若有合法分包征得采购人同意；</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八、保证成交之后，按照磋商响应文件承诺提供货物、服务及派驻人员；</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九、保证企业及所属相关人员在本次磋商响应中无行贿等犯罪行为；</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十、我单位在安徽省公共资源交易市场主体库中录入的信息真实，无编造虚假信息。一旦发现弄虚作假将按有关法律法规和《诚信响应承诺书》中的约定接受处理。</w:t>
      </w:r>
    </w:p>
    <w:p>
      <w:pPr>
        <w:spacing w:line="44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十一、我方保证对本次磋商活动有任何质疑或投诉，都依法在约定的时间内提出。否则，不针对本次磋商活动提出任何质疑或投诉。</w:t>
      </w:r>
    </w:p>
    <w:p>
      <w:pPr>
        <w:spacing w:line="440" w:lineRule="exact"/>
        <w:ind w:firstLine="482" w:firstLineChars="200"/>
        <w:rPr>
          <w:rFonts w:ascii="宋体" w:hAnsi="宋体" w:cs="宋体"/>
          <w:b/>
          <w:sz w:val="24"/>
          <w:highlight w:val="none"/>
        </w:rPr>
      </w:pPr>
      <w:r>
        <w:rPr>
          <w:rFonts w:hint="eastAsia" w:ascii="仿宋" w:hAnsi="仿宋" w:eastAsia="仿宋" w:cs="仿宋"/>
          <w:b/>
          <w:bCs/>
          <w:sz w:val="24"/>
          <w:highlight w:val="none"/>
        </w:rPr>
        <w:t>以上内容我方已仔细阅读，本公司若有违反承诺内容的行为，自愿承担磋商文件确定的责任和法律责任并接受相关行政部门给予的处理和处罚。给采购人造成损失的，依法承担赔偿责任</w:t>
      </w:r>
      <w:r>
        <w:rPr>
          <w:rFonts w:hint="eastAsia" w:ascii="宋体" w:hAnsi="宋体" w:cs="宋体"/>
          <w:b/>
          <w:sz w:val="24"/>
          <w:highlight w:val="none"/>
        </w:rPr>
        <w:t>。</w:t>
      </w:r>
    </w:p>
    <w:p>
      <w:pPr>
        <w:spacing w:line="440" w:lineRule="exact"/>
        <w:ind w:firstLine="482" w:firstLineChars="200"/>
        <w:rPr>
          <w:rFonts w:ascii="宋体" w:hAnsi="宋体" w:cs="宋体"/>
          <w:b/>
          <w:sz w:val="24"/>
          <w:highlight w:val="none"/>
        </w:rPr>
      </w:pPr>
    </w:p>
    <w:p>
      <w:pPr>
        <w:spacing w:line="440" w:lineRule="exact"/>
        <w:ind w:firstLine="482" w:firstLineChars="200"/>
        <w:rPr>
          <w:rFonts w:ascii="宋体" w:hAnsi="宋体" w:cs="宋体"/>
          <w:b/>
          <w:sz w:val="24"/>
          <w:highlight w:val="none"/>
        </w:rPr>
      </w:pPr>
    </w:p>
    <w:p>
      <w:pPr>
        <w:rPr>
          <w:rFonts w:ascii="宋体" w:hAnsi="宋体" w:cs="宋体"/>
          <w:b/>
          <w:sz w:val="22"/>
          <w:szCs w:val="22"/>
          <w:highlight w:val="none"/>
        </w:rPr>
      </w:pPr>
      <w:r>
        <w:rPr>
          <w:rFonts w:ascii="宋体" w:hAnsi="宋体" w:cs="宋体"/>
          <w:b/>
          <w:sz w:val="22"/>
          <w:szCs w:val="22"/>
          <w:highlight w:val="none"/>
        </w:rPr>
        <w:t xml:space="preserve">  </w:t>
      </w:r>
    </w:p>
    <w:p>
      <w:pPr>
        <w:ind w:firstLine="5060" w:firstLineChars="2100"/>
        <w:rPr>
          <w:rFonts w:ascii="宋体" w:hAnsi="宋体" w:cs="宋体"/>
          <w:b/>
          <w:sz w:val="24"/>
          <w:highlight w:val="none"/>
        </w:rPr>
      </w:pPr>
      <w:r>
        <w:rPr>
          <w:rFonts w:hint="eastAsia" w:ascii="宋体" w:hAnsi="宋体" w:cs="宋体"/>
          <w:b/>
          <w:sz w:val="24"/>
          <w:highlight w:val="none"/>
        </w:rPr>
        <w:t>供应商（公章）：</w:t>
      </w:r>
    </w:p>
    <w:p>
      <w:pPr>
        <w:ind w:firstLine="5060" w:firstLineChars="2100"/>
        <w:rPr>
          <w:rFonts w:ascii="宋体" w:hAnsi="宋体" w:cs="宋体"/>
          <w:b/>
          <w:sz w:val="24"/>
          <w:highlight w:val="none"/>
        </w:rPr>
      </w:pPr>
    </w:p>
    <w:p>
      <w:pPr>
        <w:jc w:val="right"/>
        <w:rPr>
          <w:rFonts w:ascii="宋体" w:hAnsi="宋体" w:cs="宋体"/>
          <w:b/>
          <w:bCs/>
          <w:szCs w:val="21"/>
          <w:highlight w:val="none"/>
        </w:rPr>
      </w:pPr>
      <w:r>
        <w:rPr>
          <w:rFonts w:hint="eastAsia" w:ascii="宋体" w:hAnsi="宋体" w:cs="宋体"/>
          <w:b/>
          <w:bCs/>
          <w:szCs w:val="21"/>
          <w:highlight w:val="none"/>
        </w:rPr>
        <w:t>法定代表人或委托代理人：</w:t>
      </w:r>
      <w:r>
        <w:rPr>
          <w:rFonts w:hint="eastAsia" w:ascii="宋体" w:hAnsi="宋体" w:cs="宋体"/>
          <w:b/>
          <w:bCs/>
          <w:szCs w:val="21"/>
          <w:highlight w:val="none"/>
          <w:u w:val="single"/>
        </w:rPr>
        <w:t xml:space="preserve">           </w:t>
      </w:r>
      <w:r>
        <w:rPr>
          <w:rFonts w:hint="eastAsia" w:ascii="宋体" w:hAnsi="宋体" w:cs="宋体"/>
          <w:b/>
          <w:bCs/>
          <w:szCs w:val="21"/>
          <w:highlight w:val="none"/>
        </w:rPr>
        <w:t>（签字或盖章）</w:t>
      </w:r>
    </w:p>
    <w:p>
      <w:pPr>
        <w:ind w:firstLine="3795" w:firstLineChars="1800"/>
        <w:rPr>
          <w:rFonts w:ascii="宋体" w:hAnsi="宋体" w:cs="宋体"/>
          <w:b/>
          <w:bCs/>
          <w:szCs w:val="21"/>
          <w:highlight w:val="none"/>
        </w:rPr>
      </w:pPr>
    </w:p>
    <w:p>
      <w:pPr>
        <w:jc w:val="right"/>
        <w:rPr>
          <w:rFonts w:ascii="宋体" w:hAnsi="宋体" w:cs="宋体"/>
          <w:b/>
          <w:bCs/>
          <w:sz w:val="24"/>
          <w:highlight w:val="none"/>
        </w:rPr>
      </w:pPr>
      <w:r>
        <w:rPr>
          <w:rFonts w:hint="eastAsia" w:ascii="宋体" w:hAnsi="宋体" w:cs="宋体"/>
          <w:b/>
          <w:bCs/>
          <w:sz w:val="24"/>
          <w:highlight w:val="none"/>
        </w:rPr>
        <w:t>日期：</w:t>
      </w:r>
      <w:r>
        <w:rPr>
          <w:rFonts w:ascii="宋体" w:hAnsi="宋体" w:cs="宋体"/>
          <w:b/>
          <w:bCs/>
          <w:sz w:val="24"/>
          <w:highlight w:val="none"/>
        </w:rPr>
        <w:t>_____</w:t>
      </w:r>
      <w:r>
        <w:rPr>
          <w:rFonts w:hint="eastAsia" w:ascii="宋体" w:hAnsi="宋体" w:cs="宋体"/>
          <w:b/>
          <w:bCs/>
          <w:sz w:val="24"/>
          <w:highlight w:val="none"/>
        </w:rPr>
        <w:t>年</w:t>
      </w:r>
      <w:r>
        <w:rPr>
          <w:rFonts w:ascii="宋体" w:hAnsi="宋体" w:cs="宋体"/>
          <w:b/>
          <w:bCs/>
          <w:sz w:val="24"/>
          <w:highlight w:val="none"/>
        </w:rPr>
        <w:t>____</w:t>
      </w:r>
      <w:r>
        <w:rPr>
          <w:rFonts w:hint="eastAsia" w:ascii="宋体" w:hAnsi="宋体" w:cs="宋体"/>
          <w:b/>
          <w:bCs/>
          <w:sz w:val="24"/>
          <w:highlight w:val="none"/>
        </w:rPr>
        <w:t>月</w:t>
      </w:r>
      <w:r>
        <w:rPr>
          <w:rFonts w:ascii="宋体" w:hAnsi="宋体" w:cs="宋体"/>
          <w:b/>
          <w:bCs/>
          <w:sz w:val="24"/>
          <w:highlight w:val="none"/>
        </w:rPr>
        <w:t>____</w:t>
      </w:r>
      <w:r>
        <w:rPr>
          <w:rFonts w:hint="eastAsia" w:ascii="宋体" w:hAnsi="宋体" w:cs="宋体"/>
          <w:b/>
          <w:bCs/>
          <w:sz w:val="24"/>
          <w:highlight w:val="none"/>
        </w:rPr>
        <w:t>日</w:t>
      </w:r>
    </w:p>
    <w:p>
      <w:pPr>
        <w:jc w:val="right"/>
        <w:rPr>
          <w:rFonts w:ascii="宋体" w:hAnsi="宋体" w:cs="宋体"/>
          <w:b/>
          <w:bCs/>
          <w:sz w:val="24"/>
          <w:highlight w:val="none"/>
        </w:rPr>
      </w:pPr>
    </w:p>
    <w:p>
      <w:pPr>
        <w:rPr>
          <w:rFonts w:ascii="宋体" w:hAnsi="宋体" w:cs="宋体"/>
          <w:b/>
          <w:bCs/>
          <w:sz w:val="24"/>
          <w:highlight w:val="none"/>
        </w:rPr>
      </w:pPr>
    </w:p>
    <w:p>
      <w:pPr>
        <w:pStyle w:val="5"/>
        <w:rPr>
          <w:highlight w:val="none"/>
        </w:rPr>
      </w:pPr>
      <w:bookmarkStart w:id="166" w:name="_Toc26001"/>
      <w:bookmarkStart w:id="167" w:name="_Toc476584438"/>
      <w:r>
        <w:rPr>
          <w:rFonts w:hint="eastAsia"/>
          <w:highlight w:val="none"/>
        </w:rPr>
        <w:t>七、资格证明文件</w:t>
      </w:r>
      <w:bookmarkEnd w:id="166"/>
      <w:bookmarkEnd w:id="167"/>
    </w:p>
    <w:p>
      <w:pPr>
        <w:spacing w:line="360" w:lineRule="auto"/>
        <w:ind w:firstLine="420" w:firstLineChars="200"/>
        <w:rPr>
          <w:rFonts w:ascii="宋体"/>
          <w:szCs w:val="21"/>
          <w:highlight w:val="none"/>
        </w:rPr>
      </w:pPr>
      <w:r>
        <w:rPr>
          <w:rFonts w:ascii="宋体" w:hAnsi="宋体" w:cs="宋体"/>
          <w:szCs w:val="21"/>
          <w:highlight w:val="none"/>
        </w:rPr>
        <w:t>1</w:t>
      </w:r>
      <w:r>
        <w:rPr>
          <w:rFonts w:hint="eastAsia" w:ascii="宋体" w:hAnsi="宋体" w:cs="宋体"/>
          <w:szCs w:val="21"/>
          <w:highlight w:val="none"/>
        </w:rPr>
        <w:t>、</w:t>
      </w:r>
      <w:r>
        <w:rPr>
          <w:rFonts w:hint="eastAsia" w:ascii="宋体" w:hAnsi="宋体"/>
          <w:szCs w:val="21"/>
          <w:highlight w:val="none"/>
        </w:rPr>
        <w:t>营业执照；</w:t>
      </w:r>
    </w:p>
    <w:p>
      <w:pPr>
        <w:spacing w:line="360" w:lineRule="auto"/>
        <w:ind w:firstLine="420" w:firstLineChars="200"/>
        <w:rPr>
          <w:rFonts w:ascii="宋体"/>
          <w:szCs w:val="21"/>
          <w:highlight w:val="none"/>
        </w:rPr>
      </w:pPr>
      <w:r>
        <w:rPr>
          <w:rFonts w:ascii="宋体" w:hAnsi="宋体"/>
          <w:szCs w:val="21"/>
          <w:highlight w:val="none"/>
        </w:rPr>
        <w:t>2</w:t>
      </w:r>
      <w:r>
        <w:rPr>
          <w:rFonts w:hint="eastAsia" w:ascii="宋体" w:hAnsi="宋体"/>
          <w:szCs w:val="21"/>
          <w:highlight w:val="none"/>
        </w:rPr>
        <w:t>、税务登记证；（如为三证合一的，只需提供三证合一的营业执照）</w:t>
      </w:r>
    </w:p>
    <w:p>
      <w:pPr>
        <w:spacing w:line="360" w:lineRule="auto"/>
        <w:ind w:firstLine="422" w:firstLineChars="200"/>
        <w:rPr>
          <w:rFonts w:ascii="宋体" w:hAnsi="宋体"/>
          <w:szCs w:val="21"/>
          <w:highlight w:val="none"/>
        </w:rPr>
      </w:pPr>
      <w:r>
        <w:rPr>
          <w:rFonts w:hint="eastAsia" w:ascii="宋体" w:hAnsi="宋体"/>
          <w:b/>
          <w:bCs/>
          <w:szCs w:val="21"/>
          <w:highlight w:val="none"/>
        </w:rPr>
        <w:t>3、</w:t>
      </w:r>
      <w:r>
        <w:rPr>
          <w:rFonts w:hint="eastAsia" w:ascii="宋体" w:hAnsi="宋体"/>
          <w:szCs w:val="21"/>
          <w:highlight w:val="none"/>
        </w:rPr>
        <w:t>缴纳税收和社保资金的证明材料复印件（只需提供近一年内任意月份）；</w:t>
      </w:r>
    </w:p>
    <w:p>
      <w:pPr>
        <w:spacing w:line="360" w:lineRule="auto"/>
        <w:ind w:firstLine="420" w:firstLineChars="200"/>
        <w:rPr>
          <w:rFonts w:ascii="宋体" w:hAnsi="宋体"/>
          <w:szCs w:val="21"/>
          <w:highlight w:val="none"/>
        </w:rPr>
      </w:pPr>
      <w:r>
        <w:rPr>
          <w:rFonts w:hint="eastAsia" w:ascii="宋体" w:hAnsi="宋体"/>
          <w:szCs w:val="21"/>
          <w:highlight w:val="none"/>
        </w:rPr>
        <w:t>银行、保险、石油化工、电力、电信等特殊行业的分公司取得总公司相关授权的，磋商文件中关于法定代表人的要求事项可由分公司负责人代理。</w:t>
      </w:r>
    </w:p>
    <w:p>
      <w:pPr>
        <w:spacing w:line="360" w:lineRule="auto"/>
        <w:ind w:firstLine="422" w:firstLineChars="200"/>
        <w:rPr>
          <w:rFonts w:ascii="宋体" w:hAnsi="宋体"/>
          <w:szCs w:val="21"/>
          <w:highlight w:val="none"/>
        </w:rPr>
      </w:pPr>
      <w:r>
        <w:rPr>
          <w:rFonts w:hint="eastAsia" w:ascii="宋体" w:hAnsi="宋体"/>
          <w:b/>
          <w:bCs/>
          <w:szCs w:val="21"/>
          <w:highlight w:val="none"/>
        </w:rPr>
        <w:t>4、供应商需具备省级及以上网络安全等级保护工作协调小组办公室颁发的网络安全等级保护测评机构推荐证书；</w:t>
      </w:r>
    </w:p>
    <w:p>
      <w:pPr>
        <w:spacing w:line="360" w:lineRule="auto"/>
        <w:ind w:firstLine="420" w:firstLineChars="200"/>
        <w:rPr>
          <w:rFonts w:ascii="宋体" w:cs="宋体"/>
          <w:szCs w:val="21"/>
          <w:highlight w:val="none"/>
        </w:rPr>
      </w:pPr>
      <w:r>
        <w:rPr>
          <w:rFonts w:hint="eastAsia" w:ascii="宋体" w:hAnsi="宋体"/>
          <w:szCs w:val="21"/>
          <w:highlight w:val="none"/>
        </w:rPr>
        <w:t>5、</w:t>
      </w:r>
      <w:r>
        <w:rPr>
          <w:rFonts w:hint="eastAsia" w:ascii="宋体" w:hAnsi="宋体" w:cs="宋体"/>
          <w:szCs w:val="21"/>
          <w:highlight w:val="none"/>
        </w:rPr>
        <w:t>履行合同所必需的设备专业技术能力证明文件。</w:t>
      </w:r>
      <w:r>
        <w:rPr>
          <w:rFonts w:hint="eastAsia" w:ascii="宋体" w:hAnsi="宋体" w:cs="宋体"/>
          <w:color w:val="000000"/>
          <w:szCs w:val="21"/>
          <w:highlight w:val="none"/>
        </w:rPr>
        <w:t>（由磋商响应人根据项目情况决定是否填写）</w:t>
      </w:r>
    </w:p>
    <w:p>
      <w:pPr>
        <w:spacing w:line="360" w:lineRule="auto"/>
        <w:ind w:firstLine="315" w:firstLineChars="15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）服务于本项目的专业设备一览表</w:t>
      </w:r>
    </w:p>
    <w:tbl>
      <w:tblPr>
        <w:tblStyle w:val="60"/>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756"/>
        <w:gridCol w:w="1453"/>
        <w:gridCol w:w="934"/>
        <w:gridCol w:w="878"/>
        <w:gridCol w:w="1495"/>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639" w:type="dxa"/>
            <w:vAlign w:val="center"/>
          </w:tcPr>
          <w:p>
            <w:pPr>
              <w:spacing w:line="360" w:lineRule="auto"/>
              <w:jc w:val="center"/>
              <w:rPr>
                <w:rFonts w:ascii="宋体" w:cs="宋体"/>
                <w:szCs w:val="21"/>
                <w:highlight w:val="none"/>
              </w:rPr>
            </w:pPr>
            <w:r>
              <w:rPr>
                <w:rFonts w:hint="eastAsia" w:ascii="宋体" w:hAnsi="宋体" w:cs="宋体"/>
                <w:szCs w:val="21"/>
                <w:highlight w:val="none"/>
              </w:rPr>
              <w:t>序号</w:t>
            </w:r>
          </w:p>
        </w:tc>
        <w:tc>
          <w:tcPr>
            <w:tcW w:w="1756" w:type="dxa"/>
            <w:vAlign w:val="center"/>
          </w:tcPr>
          <w:p>
            <w:pPr>
              <w:spacing w:line="360" w:lineRule="auto"/>
              <w:jc w:val="center"/>
              <w:rPr>
                <w:rFonts w:ascii="宋体" w:cs="宋体"/>
                <w:szCs w:val="21"/>
                <w:highlight w:val="none"/>
              </w:rPr>
            </w:pPr>
            <w:r>
              <w:rPr>
                <w:rFonts w:hint="eastAsia" w:ascii="宋体" w:hAnsi="宋体" w:cs="宋体"/>
                <w:szCs w:val="21"/>
                <w:highlight w:val="none"/>
              </w:rPr>
              <w:t>设备名称</w:t>
            </w:r>
          </w:p>
        </w:tc>
        <w:tc>
          <w:tcPr>
            <w:tcW w:w="1453" w:type="dxa"/>
            <w:vAlign w:val="center"/>
          </w:tcPr>
          <w:p>
            <w:pPr>
              <w:spacing w:line="360" w:lineRule="auto"/>
              <w:jc w:val="center"/>
              <w:rPr>
                <w:rFonts w:ascii="宋体" w:cs="宋体"/>
                <w:szCs w:val="21"/>
                <w:highlight w:val="none"/>
              </w:rPr>
            </w:pPr>
            <w:r>
              <w:rPr>
                <w:rFonts w:hint="eastAsia" w:ascii="宋体" w:hAnsi="宋体" w:cs="宋体"/>
                <w:szCs w:val="21"/>
                <w:highlight w:val="none"/>
              </w:rPr>
              <w:t>购入时间</w:t>
            </w:r>
          </w:p>
        </w:tc>
        <w:tc>
          <w:tcPr>
            <w:tcW w:w="934" w:type="dxa"/>
            <w:vAlign w:val="center"/>
          </w:tcPr>
          <w:p>
            <w:pPr>
              <w:spacing w:line="360" w:lineRule="auto"/>
              <w:jc w:val="center"/>
              <w:rPr>
                <w:rFonts w:ascii="宋体" w:cs="宋体"/>
                <w:szCs w:val="21"/>
                <w:highlight w:val="none"/>
              </w:rPr>
            </w:pPr>
            <w:r>
              <w:rPr>
                <w:rFonts w:hint="eastAsia" w:ascii="宋体" w:hAnsi="宋体" w:cs="宋体"/>
                <w:szCs w:val="21"/>
                <w:highlight w:val="none"/>
              </w:rPr>
              <w:t>价值</w:t>
            </w:r>
          </w:p>
        </w:tc>
        <w:tc>
          <w:tcPr>
            <w:tcW w:w="878" w:type="dxa"/>
            <w:vAlign w:val="center"/>
          </w:tcPr>
          <w:p>
            <w:pPr>
              <w:spacing w:line="360" w:lineRule="auto"/>
              <w:jc w:val="center"/>
              <w:rPr>
                <w:rFonts w:ascii="宋体" w:cs="宋体"/>
                <w:szCs w:val="21"/>
                <w:highlight w:val="none"/>
              </w:rPr>
            </w:pPr>
            <w:r>
              <w:rPr>
                <w:rFonts w:hint="eastAsia" w:ascii="宋体" w:hAnsi="宋体" w:cs="宋体"/>
                <w:szCs w:val="21"/>
                <w:highlight w:val="none"/>
              </w:rPr>
              <w:t>数量</w:t>
            </w:r>
          </w:p>
        </w:tc>
        <w:tc>
          <w:tcPr>
            <w:tcW w:w="1495" w:type="dxa"/>
            <w:vAlign w:val="center"/>
          </w:tcPr>
          <w:p>
            <w:pPr>
              <w:spacing w:line="360" w:lineRule="auto"/>
              <w:jc w:val="center"/>
              <w:rPr>
                <w:rFonts w:ascii="宋体" w:cs="宋体"/>
                <w:szCs w:val="21"/>
                <w:highlight w:val="none"/>
              </w:rPr>
            </w:pPr>
            <w:r>
              <w:rPr>
                <w:rFonts w:hint="eastAsia" w:ascii="宋体" w:hAnsi="宋体" w:cs="宋体"/>
                <w:szCs w:val="21"/>
                <w:highlight w:val="none"/>
              </w:rPr>
              <w:t>生产厂家</w:t>
            </w:r>
          </w:p>
        </w:tc>
        <w:tc>
          <w:tcPr>
            <w:tcW w:w="1504" w:type="dxa"/>
            <w:vAlign w:val="center"/>
          </w:tcPr>
          <w:p>
            <w:pPr>
              <w:spacing w:line="360" w:lineRule="auto"/>
              <w:jc w:val="center"/>
              <w:rPr>
                <w:rFonts w:ascii="宋体" w:cs="宋体"/>
                <w:szCs w:val="21"/>
                <w:highlight w:val="none"/>
              </w:rPr>
            </w:pPr>
            <w:r>
              <w:rPr>
                <w:rFonts w:hint="eastAsia" w:ascii="宋体" w:hAnsi="宋体" w:cs="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639" w:type="dxa"/>
            <w:vAlign w:val="center"/>
          </w:tcPr>
          <w:p>
            <w:pPr>
              <w:spacing w:line="360" w:lineRule="auto"/>
              <w:ind w:firstLine="420" w:firstLineChars="200"/>
              <w:rPr>
                <w:rFonts w:ascii="宋体" w:cs="宋体"/>
                <w:szCs w:val="21"/>
                <w:highlight w:val="none"/>
              </w:rPr>
            </w:pPr>
          </w:p>
        </w:tc>
        <w:tc>
          <w:tcPr>
            <w:tcW w:w="1756" w:type="dxa"/>
            <w:vAlign w:val="center"/>
          </w:tcPr>
          <w:p>
            <w:pPr>
              <w:spacing w:line="360" w:lineRule="auto"/>
              <w:ind w:firstLine="420" w:firstLineChars="200"/>
              <w:rPr>
                <w:rFonts w:ascii="宋体" w:cs="宋体"/>
                <w:szCs w:val="21"/>
                <w:highlight w:val="none"/>
              </w:rPr>
            </w:pPr>
          </w:p>
        </w:tc>
        <w:tc>
          <w:tcPr>
            <w:tcW w:w="1453" w:type="dxa"/>
            <w:vAlign w:val="center"/>
          </w:tcPr>
          <w:p>
            <w:pPr>
              <w:spacing w:line="360" w:lineRule="auto"/>
              <w:ind w:firstLine="420" w:firstLineChars="200"/>
              <w:rPr>
                <w:rFonts w:ascii="宋体" w:cs="宋体"/>
                <w:szCs w:val="21"/>
                <w:highlight w:val="none"/>
              </w:rPr>
            </w:pPr>
          </w:p>
        </w:tc>
        <w:tc>
          <w:tcPr>
            <w:tcW w:w="934" w:type="dxa"/>
            <w:vAlign w:val="center"/>
          </w:tcPr>
          <w:p>
            <w:pPr>
              <w:spacing w:line="360" w:lineRule="auto"/>
              <w:ind w:firstLine="420" w:firstLineChars="200"/>
              <w:rPr>
                <w:rFonts w:ascii="宋体" w:cs="宋体"/>
                <w:szCs w:val="21"/>
                <w:highlight w:val="none"/>
              </w:rPr>
            </w:pPr>
          </w:p>
        </w:tc>
        <w:tc>
          <w:tcPr>
            <w:tcW w:w="878" w:type="dxa"/>
            <w:vAlign w:val="center"/>
          </w:tcPr>
          <w:p>
            <w:pPr>
              <w:spacing w:line="360" w:lineRule="auto"/>
              <w:ind w:firstLine="420" w:firstLineChars="200"/>
              <w:rPr>
                <w:rFonts w:ascii="宋体" w:cs="宋体"/>
                <w:szCs w:val="21"/>
                <w:highlight w:val="none"/>
              </w:rPr>
            </w:pPr>
          </w:p>
        </w:tc>
        <w:tc>
          <w:tcPr>
            <w:tcW w:w="1495" w:type="dxa"/>
            <w:vAlign w:val="center"/>
          </w:tcPr>
          <w:p>
            <w:pPr>
              <w:spacing w:line="360" w:lineRule="auto"/>
              <w:ind w:firstLine="420" w:firstLineChars="200"/>
              <w:rPr>
                <w:rFonts w:ascii="宋体" w:cs="宋体"/>
                <w:szCs w:val="21"/>
                <w:highlight w:val="none"/>
              </w:rPr>
            </w:pPr>
          </w:p>
        </w:tc>
        <w:tc>
          <w:tcPr>
            <w:tcW w:w="1504" w:type="dxa"/>
            <w:vAlign w:val="center"/>
          </w:tcPr>
          <w:p>
            <w:pPr>
              <w:spacing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39" w:type="dxa"/>
            <w:vAlign w:val="center"/>
          </w:tcPr>
          <w:p>
            <w:pPr>
              <w:spacing w:line="360" w:lineRule="auto"/>
              <w:ind w:firstLine="420" w:firstLineChars="200"/>
              <w:rPr>
                <w:rFonts w:ascii="宋体" w:cs="宋体"/>
                <w:szCs w:val="21"/>
                <w:highlight w:val="none"/>
              </w:rPr>
            </w:pPr>
          </w:p>
        </w:tc>
        <w:tc>
          <w:tcPr>
            <w:tcW w:w="1756" w:type="dxa"/>
            <w:vAlign w:val="center"/>
          </w:tcPr>
          <w:p>
            <w:pPr>
              <w:spacing w:line="360" w:lineRule="auto"/>
              <w:ind w:firstLine="420" w:firstLineChars="200"/>
              <w:rPr>
                <w:rFonts w:ascii="宋体" w:cs="宋体"/>
                <w:szCs w:val="21"/>
                <w:highlight w:val="none"/>
              </w:rPr>
            </w:pPr>
          </w:p>
        </w:tc>
        <w:tc>
          <w:tcPr>
            <w:tcW w:w="1453" w:type="dxa"/>
            <w:vAlign w:val="center"/>
          </w:tcPr>
          <w:p>
            <w:pPr>
              <w:spacing w:line="360" w:lineRule="auto"/>
              <w:ind w:firstLine="420" w:firstLineChars="200"/>
              <w:rPr>
                <w:rFonts w:ascii="宋体" w:cs="宋体"/>
                <w:szCs w:val="21"/>
                <w:highlight w:val="none"/>
              </w:rPr>
            </w:pPr>
          </w:p>
        </w:tc>
        <w:tc>
          <w:tcPr>
            <w:tcW w:w="934" w:type="dxa"/>
            <w:vAlign w:val="center"/>
          </w:tcPr>
          <w:p>
            <w:pPr>
              <w:spacing w:line="360" w:lineRule="auto"/>
              <w:ind w:firstLine="420" w:firstLineChars="200"/>
              <w:rPr>
                <w:rFonts w:ascii="宋体" w:cs="宋体"/>
                <w:szCs w:val="21"/>
                <w:highlight w:val="none"/>
              </w:rPr>
            </w:pPr>
          </w:p>
        </w:tc>
        <w:tc>
          <w:tcPr>
            <w:tcW w:w="878" w:type="dxa"/>
            <w:vAlign w:val="center"/>
          </w:tcPr>
          <w:p>
            <w:pPr>
              <w:spacing w:line="360" w:lineRule="auto"/>
              <w:ind w:firstLine="420" w:firstLineChars="200"/>
              <w:rPr>
                <w:rFonts w:ascii="宋体" w:cs="宋体"/>
                <w:szCs w:val="21"/>
                <w:highlight w:val="none"/>
              </w:rPr>
            </w:pPr>
          </w:p>
        </w:tc>
        <w:tc>
          <w:tcPr>
            <w:tcW w:w="1495" w:type="dxa"/>
            <w:vAlign w:val="center"/>
          </w:tcPr>
          <w:p>
            <w:pPr>
              <w:spacing w:line="360" w:lineRule="auto"/>
              <w:ind w:firstLine="420" w:firstLineChars="200"/>
              <w:rPr>
                <w:rFonts w:ascii="宋体" w:cs="宋体"/>
                <w:szCs w:val="21"/>
                <w:highlight w:val="none"/>
              </w:rPr>
            </w:pPr>
          </w:p>
        </w:tc>
        <w:tc>
          <w:tcPr>
            <w:tcW w:w="1504" w:type="dxa"/>
            <w:vAlign w:val="center"/>
          </w:tcPr>
          <w:p>
            <w:pPr>
              <w:spacing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639" w:type="dxa"/>
            <w:vAlign w:val="center"/>
          </w:tcPr>
          <w:p>
            <w:pPr>
              <w:spacing w:line="360" w:lineRule="auto"/>
              <w:ind w:firstLine="420" w:firstLineChars="200"/>
              <w:rPr>
                <w:rFonts w:ascii="宋体" w:cs="宋体"/>
                <w:szCs w:val="21"/>
                <w:highlight w:val="none"/>
              </w:rPr>
            </w:pPr>
          </w:p>
        </w:tc>
        <w:tc>
          <w:tcPr>
            <w:tcW w:w="1756" w:type="dxa"/>
            <w:vAlign w:val="center"/>
          </w:tcPr>
          <w:p>
            <w:pPr>
              <w:spacing w:line="360" w:lineRule="auto"/>
              <w:ind w:firstLine="420" w:firstLineChars="200"/>
              <w:rPr>
                <w:rFonts w:ascii="宋体" w:cs="宋体"/>
                <w:szCs w:val="21"/>
                <w:highlight w:val="none"/>
              </w:rPr>
            </w:pPr>
          </w:p>
        </w:tc>
        <w:tc>
          <w:tcPr>
            <w:tcW w:w="1453" w:type="dxa"/>
            <w:vAlign w:val="center"/>
          </w:tcPr>
          <w:p>
            <w:pPr>
              <w:spacing w:line="360" w:lineRule="auto"/>
              <w:ind w:firstLine="420" w:firstLineChars="200"/>
              <w:rPr>
                <w:rFonts w:ascii="宋体" w:cs="宋体"/>
                <w:szCs w:val="21"/>
                <w:highlight w:val="none"/>
              </w:rPr>
            </w:pPr>
          </w:p>
        </w:tc>
        <w:tc>
          <w:tcPr>
            <w:tcW w:w="934" w:type="dxa"/>
            <w:vAlign w:val="center"/>
          </w:tcPr>
          <w:p>
            <w:pPr>
              <w:spacing w:line="360" w:lineRule="auto"/>
              <w:ind w:firstLine="420" w:firstLineChars="200"/>
              <w:rPr>
                <w:rFonts w:ascii="宋体" w:cs="宋体"/>
                <w:szCs w:val="21"/>
                <w:highlight w:val="none"/>
              </w:rPr>
            </w:pPr>
          </w:p>
        </w:tc>
        <w:tc>
          <w:tcPr>
            <w:tcW w:w="878" w:type="dxa"/>
            <w:vAlign w:val="center"/>
          </w:tcPr>
          <w:p>
            <w:pPr>
              <w:spacing w:line="360" w:lineRule="auto"/>
              <w:ind w:firstLine="420" w:firstLineChars="200"/>
              <w:rPr>
                <w:rFonts w:ascii="宋体" w:cs="宋体"/>
                <w:szCs w:val="21"/>
                <w:highlight w:val="none"/>
              </w:rPr>
            </w:pPr>
          </w:p>
        </w:tc>
        <w:tc>
          <w:tcPr>
            <w:tcW w:w="1495" w:type="dxa"/>
            <w:vAlign w:val="center"/>
          </w:tcPr>
          <w:p>
            <w:pPr>
              <w:spacing w:line="360" w:lineRule="auto"/>
              <w:ind w:firstLine="420" w:firstLineChars="200"/>
              <w:rPr>
                <w:rFonts w:ascii="宋体" w:cs="宋体"/>
                <w:szCs w:val="21"/>
                <w:highlight w:val="none"/>
              </w:rPr>
            </w:pPr>
          </w:p>
        </w:tc>
        <w:tc>
          <w:tcPr>
            <w:tcW w:w="1504" w:type="dxa"/>
            <w:vAlign w:val="center"/>
          </w:tcPr>
          <w:p>
            <w:pPr>
              <w:spacing w:line="360" w:lineRule="auto"/>
              <w:ind w:firstLine="420" w:firstLineChars="200"/>
              <w:rPr>
                <w:rFonts w:ascii="宋体" w:cs="宋体"/>
                <w:szCs w:val="21"/>
                <w:highlight w:val="none"/>
              </w:rPr>
            </w:pPr>
          </w:p>
        </w:tc>
      </w:tr>
    </w:tbl>
    <w:p>
      <w:pPr>
        <w:spacing w:line="360" w:lineRule="auto"/>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）服务本项目人员一览表</w:t>
      </w:r>
    </w:p>
    <w:tbl>
      <w:tblPr>
        <w:tblStyle w:val="60"/>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187"/>
        <w:gridCol w:w="1185"/>
        <w:gridCol w:w="1185"/>
        <w:gridCol w:w="1974"/>
        <w:gridCol w:w="987"/>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44" w:type="dxa"/>
            <w:vMerge w:val="restart"/>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类别</w:t>
            </w:r>
          </w:p>
        </w:tc>
        <w:tc>
          <w:tcPr>
            <w:tcW w:w="1187" w:type="dxa"/>
            <w:vMerge w:val="restart"/>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姓名</w:t>
            </w:r>
          </w:p>
        </w:tc>
        <w:tc>
          <w:tcPr>
            <w:tcW w:w="1185" w:type="dxa"/>
            <w:vMerge w:val="restart"/>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职务</w:t>
            </w:r>
          </w:p>
        </w:tc>
        <w:tc>
          <w:tcPr>
            <w:tcW w:w="1185" w:type="dxa"/>
            <w:vMerge w:val="restart"/>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职称</w:t>
            </w:r>
          </w:p>
        </w:tc>
        <w:tc>
          <w:tcPr>
            <w:tcW w:w="1974" w:type="dxa"/>
            <w:vMerge w:val="restart"/>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手机号</w:t>
            </w:r>
          </w:p>
        </w:tc>
        <w:tc>
          <w:tcPr>
            <w:tcW w:w="2172" w:type="dxa"/>
            <w:gridSpan w:val="2"/>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44" w:type="dxa"/>
            <w:vMerge w:val="continue"/>
            <w:vAlign w:val="center"/>
          </w:tcPr>
          <w:p>
            <w:pPr>
              <w:spacing w:before="100" w:beforeAutospacing="1" w:after="100" w:afterAutospacing="1" w:line="360" w:lineRule="auto"/>
              <w:ind w:firstLine="420" w:firstLineChars="200"/>
              <w:jc w:val="center"/>
              <w:rPr>
                <w:rFonts w:ascii="宋体" w:cs="宋体"/>
                <w:szCs w:val="21"/>
                <w:highlight w:val="none"/>
              </w:rPr>
            </w:pPr>
          </w:p>
        </w:tc>
        <w:tc>
          <w:tcPr>
            <w:tcW w:w="1187" w:type="dxa"/>
            <w:vMerge w:val="continue"/>
            <w:vAlign w:val="center"/>
          </w:tcPr>
          <w:p>
            <w:pPr>
              <w:spacing w:before="100" w:beforeAutospacing="1" w:after="100" w:afterAutospacing="1" w:line="360" w:lineRule="auto"/>
              <w:ind w:firstLine="420" w:firstLineChars="200"/>
              <w:jc w:val="center"/>
              <w:rPr>
                <w:rFonts w:ascii="宋体" w:cs="宋体"/>
                <w:szCs w:val="21"/>
                <w:highlight w:val="none"/>
              </w:rPr>
            </w:pPr>
          </w:p>
        </w:tc>
        <w:tc>
          <w:tcPr>
            <w:tcW w:w="1185" w:type="dxa"/>
            <w:vMerge w:val="continue"/>
            <w:vAlign w:val="center"/>
          </w:tcPr>
          <w:p>
            <w:pPr>
              <w:spacing w:before="100" w:beforeAutospacing="1" w:after="100" w:afterAutospacing="1" w:line="360" w:lineRule="auto"/>
              <w:ind w:firstLine="420" w:firstLineChars="200"/>
              <w:jc w:val="center"/>
              <w:rPr>
                <w:rFonts w:ascii="宋体" w:cs="宋体"/>
                <w:szCs w:val="21"/>
                <w:highlight w:val="none"/>
              </w:rPr>
            </w:pPr>
          </w:p>
        </w:tc>
        <w:tc>
          <w:tcPr>
            <w:tcW w:w="1185" w:type="dxa"/>
            <w:vMerge w:val="continue"/>
            <w:vAlign w:val="center"/>
          </w:tcPr>
          <w:p>
            <w:pPr>
              <w:spacing w:before="100" w:beforeAutospacing="1" w:after="100" w:afterAutospacing="1" w:line="360" w:lineRule="auto"/>
              <w:ind w:firstLine="420" w:firstLineChars="200"/>
              <w:jc w:val="center"/>
              <w:rPr>
                <w:rFonts w:ascii="宋体" w:cs="宋体"/>
                <w:szCs w:val="21"/>
                <w:highlight w:val="none"/>
              </w:rPr>
            </w:pPr>
          </w:p>
        </w:tc>
        <w:tc>
          <w:tcPr>
            <w:tcW w:w="1974" w:type="dxa"/>
            <w:vMerge w:val="continue"/>
            <w:vAlign w:val="center"/>
          </w:tcPr>
          <w:p>
            <w:pPr>
              <w:spacing w:before="100" w:beforeAutospacing="1" w:after="100" w:afterAutospacing="1" w:line="360" w:lineRule="auto"/>
              <w:ind w:firstLine="420" w:firstLineChars="200"/>
              <w:jc w:val="center"/>
              <w:rPr>
                <w:rFonts w:ascii="宋体" w:cs="宋体"/>
                <w:szCs w:val="21"/>
                <w:highlight w:val="none"/>
              </w:rPr>
            </w:pPr>
          </w:p>
        </w:tc>
        <w:tc>
          <w:tcPr>
            <w:tcW w:w="987" w:type="dxa"/>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名称</w:t>
            </w:r>
          </w:p>
        </w:tc>
        <w:tc>
          <w:tcPr>
            <w:tcW w:w="1185" w:type="dxa"/>
            <w:vAlign w:val="center"/>
          </w:tcPr>
          <w:p>
            <w:pPr>
              <w:spacing w:before="100" w:beforeAutospacing="1" w:after="100" w:afterAutospacing="1" w:line="360" w:lineRule="auto"/>
              <w:jc w:val="center"/>
              <w:rPr>
                <w:rFonts w:ascii="宋体" w:cs="宋体"/>
                <w:szCs w:val="21"/>
                <w:highlight w:val="none"/>
              </w:rPr>
            </w:pPr>
            <w:r>
              <w:rPr>
                <w:rFonts w:hint="eastAsia" w:ascii="宋体" w:hAnsi="宋体" w:cs="宋体"/>
                <w:szCs w:val="21"/>
                <w:highlight w:val="none"/>
              </w:rPr>
              <w:t>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44" w:type="dxa"/>
            <w:vMerge w:val="restart"/>
            <w:textDirection w:val="tbRlV"/>
            <w:vAlign w:val="center"/>
          </w:tcPr>
          <w:p>
            <w:pPr>
              <w:spacing w:before="100" w:beforeAutospacing="1" w:after="100" w:afterAutospacing="1" w:line="360" w:lineRule="auto"/>
              <w:ind w:firstLine="420" w:firstLineChars="200"/>
              <w:rPr>
                <w:rFonts w:ascii="宋体" w:cs="宋体"/>
                <w:szCs w:val="21"/>
                <w:highlight w:val="none"/>
              </w:rPr>
            </w:pPr>
            <w:r>
              <w:rPr>
                <w:rFonts w:hint="eastAsia" w:ascii="宋体" w:hAnsi="宋体" w:cs="宋体"/>
                <w:szCs w:val="21"/>
                <w:highlight w:val="none"/>
              </w:rPr>
              <w:t>管理人员</w:t>
            </w: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44" w:type="dxa"/>
            <w:vMerge w:val="continue"/>
            <w:vAlign w:val="center"/>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44" w:type="dxa"/>
            <w:vMerge w:val="continue"/>
            <w:vAlign w:val="center"/>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944" w:type="dxa"/>
            <w:vMerge w:val="restart"/>
            <w:textDirection w:val="tbRlV"/>
            <w:vAlign w:val="center"/>
          </w:tcPr>
          <w:p>
            <w:pPr>
              <w:spacing w:before="100" w:beforeAutospacing="1" w:after="100" w:afterAutospacing="1" w:line="360" w:lineRule="auto"/>
              <w:ind w:firstLine="420" w:firstLineChars="200"/>
              <w:rPr>
                <w:rFonts w:ascii="宋体" w:cs="宋体"/>
                <w:szCs w:val="21"/>
                <w:highlight w:val="none"/>
              </w:rPr>
            </w:pPr>
            <w:r>
              <w:rPr>
                <w:rFonts w:hint="eastAsia" w:ascii="宋体" w:hAnsi="宋体" w:cs="宋体"/>
                <w:szCs w:val="21"/>
                <w:highlight w:val="none"/>
              </w:rPr>
              <w:t>技术人员</w:t>
            </w: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44" w:type="dxa"/>
            <w:vMerge w:val="continue"/>
            <w:vAlign w:val="center"/>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44" w:type="dxa"/>
            <w:vMerge w:val="continue"/>
            <w:vAlign w:val="center"/>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944" w:type="dxa"/>
            <w:vMerge w:val="restart"/>
            <w:textDirection w:val="tbRlV"/>
            <w:vAlign w:val="center"/>
          </w:tcPr>
          <w:p>
            <w:pPr>
              <w:spacing w:before="100" w:beforeAutospacing="1" w:after="100" w:afterAutospacing="1" w:line="360" w:lineRule="auto"/>
              <w:ind w:firstLine="420" w:firstLineChars="200"/>
              <w:jc w:val="center"/>
              <w:rPr>
                <w:rFonts w:ascii="宋体" w:cs="宋体"/>
                <w:szCs w:val="21"/>
                <w:highlight w:val="none"/>
              </w:rPr>
            </w:pPr>
            <w:r>
              <w:rPr>
                <w:rFonts w:hint="eastAsia" w:ascii="宋体" w:hAnsi="宋体" w:cs="宋体"/>
                <w:szCs w:val="21"/>
                <w:highlight w:val="none"/>
              </w:rPr>
              <w:t>其他</w:t>
            </w: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944" w:type="dxa"/>
            <w:vMerge w:val="continue"/>
            <w:textDirection w:val="tbRlV"/>
            <w:vAlign w:val="center"/>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944" w:type="dxa"/>
            <w:vMerge w:val="continue"/>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44" w:type="dxa"/>
            <w:vMerge w:val="continue"/>
          </w:tcPr>
          <w:p>
            <w:pPr>
              <w:spacing w:before="100" w:beforeAutospacing="1" w:after="100" w:afterAutospacing="1" w:line="360" w:lineRule="auto"/>
              <w:ind w:firstLine="420" w:firstLineChars="200"/>
              <w:rPr>
                <w:rFonts w:ascii="宋体" w:cs="宋体"/>
                <w:szCs w:val="21"/>
                <w:highlight w:val="none"/>
              </w:rPr>
            </w:pPr>
          </w:p>
        </w:tc>
        <w:tc>
          <w:tcPr>
            <w:tcW w:w="11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c>
          <w:tcPr>
            <w:tcW w:w="1974" w:type="dxa"/>
          </w:tcPr>
          <w:p>
            <w:pPr>
              <w:spacing w:before="100" w:beforeAutospacing="1" w:after="100" w:afterAutospacing="1" w:line="360" w:lineRule="auto"/>
              <w:ind w:firstLine="420" w:firstLineChars="200"/>
              <w:rPr>
                <w:rFonts w:ascii="宋体" w:cs="宋体"/>
                <w:szCs w:val="21"/>
                <w:highlight w:val="none"/>
              </w:rPr>
            </w:pPr>
          </w:p>
        </w:tc>
        <w:tc>
          <w:tcPr>
            <w:tcW w:w="987" w:type="dxa"/>
          </w:tcPr>
          <w:p>
            <w:pPr>
              <w:spacing w:before="100" w:beforeAutospacing="1" w:after="100" w:afterAutospacing="1" w:line="360" w:lineRule="auto"/>
              <w:ind w:firstLine="420" w:firstLineChars="200"/>
              <w:rPr>
                <w:rFonts w:ascii="宋体" w:cs="宋体"/>
                <w:szCs w:val="21"/>
                <w:highlight w:val="none"/>
              </w:rPr>
            </w:pPr>
          </w:p>
        </w:tc>
        <w:tc>
          <w:tcPr>
            <w:tcW w:w="1185" w:type="dxa"/>
          </w:tcPr>
          <w:p>
            <w:pPr>
              <w:spacing w:before="100" w:beforeAutospacing="1" w:after="100" w:afterAutospacing="1" w:line="360" w:lineRule="auto"/>
              <w:ind w:firstLine="420" w:firstLineChars="200"/>
              <w:rPr>
                <w:rFonts w:ascii="宋体" w:cs="宋体"/>
                <w:szCs w:val="21"/>
                <w:highlight w:val="none"/>
              </w:rPr>
            </w:pPr>
          </w:p>
        </w:tc>
      </w:tr>
    </w:tbl>
    <w:p>
      <w:pPr>
        <w:spacing w:line="360" w:lineRule="auto"/>
        <w:ind w:firstLine="420" w:firstLineChars="200"/>
        <w:rPr>
          <w:rFonts w:ascii="宋体"/>
          <w:szCs w:val="21"/>
          <w:highlight w:val="none"/>
        </w:rPr>
      </w:pPr>
      <w:r>
        <w:rPr>
          <w:rFonts w:hint="eastAsia" w:ascii="宋体" w:hAnsi="宋体"/>
          <w:szCs w:val="21"/>
          <w:highlight w:val="none"/>
        </w:rPr>
        <w:t>6、参加政府采购活动前</w:t>
      </w:r>
      <w:r>
        <w:rPr>
          <w:rFonts w:ascii="宋体" w:hAnsi="宋体"/>
          <w:szCs w:val="21"/>
          <w:highlight w:val="none"/>
        </w:rPr>
        <w:t>3</w:t>
      </w:r>
      <w:r>
        <w:rPr>
          <w:rFonts w:hint="eastAsia" w:ascii="宋体" w:hAnsi="宋体"/>
          <w:szCs w:val="21"/>
          <w:highlight w:val="none"/>
        </w:rPr>
        <w:t>年内在经营活动中没有重大违法记录的书面声明；</w:t>
      </w:r>
    </w:p>
    <w:p>
      <w:pPr>
        <w:spacing w:line="360" w:lineRule="auto"/>
        <w:jc w:val="center"/>
        <w:rPr>
          <w:rFonts w:ascii="宋体"/>
          <w:szCs w:val="21"/>
          <w:highlight w:val="none"/>
        </w:rPr>
      </w:pPr>
      <w:r>
        <w:rPr>
          <w:rFonts w:hint="eastAsia" w:ascii="宋体" w:hAnsi="宋体"/>
          <w:szCs w:val="21"/>
          <w:highlight w:val="none"/>
        </w:rPr>
        <w:t>声</w:t>
      </w:r>
      <w:r>
        <w:rPr>
          <w:rFonts w:ascii="宋体" w:hAnsi="宋体"/>
          <w:szCs w:val="21"/>
          <w:highlight w:val="none"/>
        </w:rPr>
        <w:t xml:space="preserve">  </w:t>
      </w:r>
      <w:r>
        <w:rPr>
          <w:rFonts w:hint="eastAsia" w:ascii="宋体" w:hAnsi="宋体"/>
          <w:szCs w:val="21"/>
          <w:highlight w:val="none"/>
        </w:rPr>
        <w:t>明</w:t>
      </w:r>
    </w:p>
    <w:p>
      <w:pPr>
        <w:spacing w:line="360" w:lineRule="auto"/>
        <w:ind w:firstLine="420" w:firstLineChars="200"/>
        <w:rPr>
          <w:rFonts w:ascii="宋体"/>
          <w:szCs w:val="21"/>
          <w:highlight w:val="none"/>
        </w:rPr>
      </w:pPr>
      <w:r>
        <w:rPr>
          <w:rFonts w:hint="eastAsia" w:ascii="宋体" w:hAnsi="宋体"/>
          <w:szCs w:val="21"/>
          <w:highlight w:val="none"/>
        </w:rPr>
        <w:t>致</w:t>
      </w:r>
      <w:r>
        <w:rPr>
          <w:rFonts w:ascii="宋体" w:hAnsi="宋体"/>
          <w:szCs w:val="21"/>
          <w:highlight w:val="none"/>
        </w:rPr>
        <w:t>:</w:t>
      </w:r>
      <w:r>
        <w:rPr>
          <w:rFonts w:hint="eastAsia" w:ascii="宋体" w:hAnsi="宋体"/>
          <w:szCs w:val="21"/>
          <w:highlight w:val="none"/>
        </w:rPr>
        <w:t>安庆职业技术学院</w:t>
      </w:r>
    </w:p>
    <w:p>
      <w:pPr>
        <w:spacing w:line="360" w:lineRule="auto"/>
        <w:ind w:left="420" w:leftChars="200" w:firstLine="525" w:firstLineChars="250"/>
        <w:rPr>
          <w:rFonts w:ascii="宋体"/>
          <w:szCs w:val="21"/>
          <w:highlight w:val="none"/>
        </w:rPr>
      </w:pPr>
      <w:r>
        <w:rPr>
          <w:rFonts w:hint="eastAsia" w:ascii="宋体" w:hAnsi="宋体"/>
          <w:szCs w:val="21"/>
          <w:highlight w:val="none"/>
        </w:rPr>
        <w:t>我单位在参加政府采购活动前</w:t>
      </w:r>
      <w:r>
        <w:rPr>
          <w:rFonts w:ascii="宋体" w:hAnsi="宋体"/>
          <w:szCs w:val="21"/>
          <w:highlight w:val="none"/>
        </w:rPr>
        <w:t>3</w:t>
      </w:r>
      <w:r>
        <w:rPr>
          <w:rFonts w:hint="eastAsia" w:ascii="宋体" w:hAnsi="宋体"/>
          <w:szCs w:val="21"/>
          <w:highlight w:val="none"/>
        </w:rPr>
        <w:t>年内在经营活动中没有政府采购法第二十二条第一款第（五）项所称重大违法记录，包括：</w:t>
      </w:r>
    </w:p>
    <w:p>
      <w:pPr>
        <w:spacing w:line="360" w:lineRule="auto"/>
        <w:ind w:left="420" w:leftChars="200" w:firstLine="420" w:firstLineChars="200"/>
        <w:rPr>
          <w:rFonts w:ascii="宋体"/>
          <w:szCs w:val="21"/>
          <w:highlight w:val="none"/>
        </w:rPr>
      </w:pPr>
      <w:r>
        <w:rPr>
          <w:rFonts w:hint="eastAsia" w:ascii="宋体" w:hAnsi="宋体"/>
          <w:szCs w:val="21"/>
          <w:highlight w:val="none"/>
        </w:rPr>
        <w:t>我单位因违法经营受到刑事处罚或者责令停产停业、吊销许可证或者执照、较大数额罚款等行政处罚。</w:t>
      </w:r>
    </w:p>
    <w:p>
      <w:pPr>
        <w:spacing w:line="360" w:lineRule="auto"/>
        <w:ind w:firstLine="420" w:firstLineChars="200"/>
        <w:rPr>
          <w:rFonts w:ascii="宋体"/>
          <w:szCs w:val="21"/>
          <w:highlight w:val="none"/>
        </w:rPr>
      </w:pPr>
      <w:r>
        <w:rPr>
          <w:rFonts w:hint="eastAsia" w:ascii="宋体" w:hAnsi="宋体"/>
          <w:szCs w:val="21"/>
          <w:highlight w:val="none"/>
        </w:rPr>
        <w:t>特此声明！</w:t>
      </w:r>
      <w:r>
        <w:rPr>
          <w:rFonts w:ascii="宋体" w:hAnsi="宋体"/>
          <w:szCs w:val="21"/>
          <w:highlight w:val="none"/>
        </w:rPr>
        <w:t xml:space="preserve">                                              </w:t>
      </w:r>
    </w:p>
    <w:p>
      <w:pPr>
        <w:spacing w:line="360" w:lineRule="auto"/>
        <w:ind w:firstLine="420" w:firstLineChars="200"/>
        <w:rPr>
          <w:rFonts w:ascii="宋体"/>
          <w:szCs w:val="21"/>
          <w:highlight w:val="none"/>
        </w:rPr>
      </w:pPr>
    </w:p>
    <w:p>
      <w:pPr>
        <w:spacing w:line="360" w:lineRule="auto"/>
        <w:ind w:firstLine="5040" w:firstLineChars="2400"/>
        <w:rPr>
          <w:rFonts w:ascii="宋体"/>
          <w:szCs w:val="21"/>
          <w:highlight w:val="none"/>
        </w:rPr>
      </w:pPr>
      <w:r>
        <w:rPr>
          <w:rFonts w:hint="eastAsia" w:ascii="宋体" w:hAnsi="宋体"/>
          <w:szCs w:val="21"/>
          <w:highlight w:val="none"/>
        </w:rPr>
        <w:t>供应商名称：（盖章）</w:t>
      </w:r>
    </w:p>
    <w:p>
      <w:pPr>
        <w:spacing w:line="360" w:lineRule="auto"/>
        <w:ind w:firstLine="420" w:firstLineChars="200"/>
        <w:rPr>
          <w:rFonts w:ascii="宋体"/>
          <w:szCs w:val="21"/>
          <w:highlight w:val="none"/>
        </w:rPr>
      </w:pPr>
      <w:r>
        <w:rPr>
          <w:rFonts w:ascii="宋体" w:hAnsi="宋体"/>
          <w:szCs w:val="21"/>
          <w:highlight w:val="none"/>
        </w:rPr>
        <w:t xml:space="preserve">                                        </w:t>
      </w:r>
      <w:r>
        <w:rPr>
          <w:rFonts w:hint="eastAsia" w:ascii="宋体" w:hAnsi="宋体"/>
          <w:szCs w:val="21"/>
          <w:highlight w:val="none"/>
        </w:rPr>
        <w:t xml:space="preserve">   法定代表人或委托代理人（签字或盖章）：</w:t>
      </w:r>
      <w:r>
        <w:rPr>
          <w:rFonts w:ascii="宋体" w:hAnsi="宋体"/>
          <w:szCs w:val="21"/>
          <w:highlight w:val="none"/>
        </w:rPr>
        <w:t xml:space="preserve"> </w:t>
      </w:r>
    </w:p>
    <w:p>
      <w:pPr>
        <w:spacing w:line="360" w:lineRule="auto"/>
        <w:ind w:firstLine="420" w:firstLineChars="200"/>
        <w:rPr>
          <w:rFonts w:ascii="宋体" w:hAnsi="宋体"/>
          <w:szCs w:val="21"/>
          <w:highlight w:val="none"/>
        </w:rPr>
      </w:pPr>
      <w:r>
        <w:rPr>
          <w:rFonts w:ascii="宋体" w:hAnsi="宋体"/>
          <w:szCs w:val="21"/>
          <w:highlight w:val="none"/>
        </w:rPr>
        <w:t xml:space="preserve">                                            </w:t>
      </w:r>
      <w:r>
        <w:rPr>
          <w:rFonts w:hint="eastAsia" w:ascii="宋体" w:hAnsi="宋体"/>
          <w:szCs w:val="21"/>
          <w:highlight w:val="none"/>
        </w:rPr>
        <w:t>日期：</w:t>
      </w:r>
      <w:r>
        <w:rPr>
          <w:rFonts w:ascii="宋体" w:hAnsi="宋体"/>
          <w:szCs w:val="21"/>
          <w:highlight w:val="none"/>
        </w:rPr>
        <w:t xml:space="preserve">        </w:t>
      </w:r>
      <w:r>
        <w:rPr>
          <w:rFonts w:hint="eastAsia" w:ascii="宋体" w:hAnsi="宋体"/>
          <w:szCs w:val="21"/>
          <w:highlight w:val="none"/>
        </w:rPr>
        <w:t>年</w:t>
      </w:r>
      <w:r>
        <w:rPr>
          <w:rFonts w:ascii="宋体" w:hAnsi="宋体"/>
          <w:szCs w:val="21"/>
          <w:highlight w:val="none"/>
        </w:rPr>
        <w:t xml:space="preserve">    </w:t>
      </w:r>
      <w:r>
        <w:rPr>
          <w:rFonts w:hint="eastAsia" w:ascii="宋体" w:hAnsi="宋体"/>
          <w:szCs w:val="21"/>
          <w:highlight w:val="none"/>
        </w:rPr>
        <w:t>月</w:t>
      </w:r>
      <w:r>
        <w:rPr>
          <w:rFonts w:ascii="宋体" w:hAnsi="宋体"/>
          <w:szCs w:val="21"/>
          <w:highlight w:val="none"/>
        </w:rPr>
        <w:t xml:space="preserve">     </w:t>
      </w:r>
      <w:r>
        <w:rPr>
          <w:rFonts w:hint="eastAsia" w:ascii="宋体" w:hAnsi="宋体"/>
          <w:szCs w:val="21"/>
          <w:highlight w:val="none"/>
        </w:rPr>
        <w:t>日</w:t>
      </w:r>
    </w:p>
    <w:p>
      <w:pPr>
        <w:spacing w:line="360" w:lineRule="auto"/>
        <w:ind w:firstLine="420" w:firstLineChars="200"/>
        <w:rPr>
          <w:rFonts w:ascii="宋体"/>
          <w:szCs w:val="21"/>
          <w:highlight w:val="none"/>
        </w:rPr>
      </w:pPr>
    </w:p>
    <w:p>
      <w:pPr>
        <w:pStyle w:val="414"/>
        <w:spacing w:line="360" w:lineRule="auto"/>
        <w:ind w:left="420" w:firstLine="0" w:firstLineChars="0"/>
        <w:rPr>
          <w:rFonts w:ascii="宋体" w:hAnsi="宋体"/>
          <w:b/>
          <w:szCs w:val="21"/>
          <w:highlight w:val="none"/>
        </w:rPr>
      </w:pPr>
      <w:r>
        <w:rPr>
          <w:rFonts w:hint="eastAsia" w:ascii="宋体" w:hAnsi="宋体"/>
          <w:b/>
          <w:szCs w:val="21"/>
          <w:highlight w:val="none"/>
        </w:rPr>
        <w:t>7、不在财政部门依法作出的禁止参加政府采购活动的行政处罚期限内的书面声明；</w:t>
      </w:r>
    </w:p>
    <w:p>
      <w:pPr>
        <w:spacing w:line="360" w:lineRule="auto"/>
        <w:jc w:val="center"/>
        <w:rPr>
          <w:rFonts w:ascii="Arial" w:hAnsi="Arial" w:cs="Arial"/>
          <w:b/>
          <w:kern w:val="0"/>
          <w:sz w:val="24"/>
          <w:szCs w:val="18"/>
          <w:highlight w:val="none"/>
        </w:rPr>
      </w:pPr>
      <w:r>
        <w:rPr>
          <w:rFonts w:hint="eastAsia" w:ascii="Arial" w:hAnsi="Arial" w:cs="Arial"/>
          <w:b/>
          <w:kern w:val="0"/>
          <w:sz w:val="24"/>
          <w:szCs w:val="18"/>
          <w:highlight w:val="none"/>
        </w:rPr>
        <w:t>声明</w:t>
      </w:r>
    </w:p>
    <w:p>
      <w:pPr>
        <w:spacing w:line="360" w:lineRule="auto"/>
        <w:ind w:firstLine="420" w:firstLineChars="200"/>
        <w:rPr>
          <w:rFonts w:ascii="宋体" w:hAnsi="宋体"/>
          <w:szCs w:val="21"/>
          <w:highlight w:val="none"/>
        </w:rPr>
      </w:pPr>
      <w:r>
        <w:rPr>
          <w:rFonts w:hint="eastAsia" w:ascii="宋体" w:hAnsi="宋体"/>
          <w:szCs w:val="21"/>
          <w:highlight w:val="none"/>
        </w:rPr>
        <w:t>致:安庆职业技术学院</w:t>
      </w:r>
    </w:p>
    <w:p>
      <w:pPr>
        <w:spacing w:line="360" w:lineRule="auto"/>
        <w:ind w:firstLine="420" w:firstLineChars="200"/>
        <w:rPr>
          <w:rFonts w:ascii="宋体" w:hAnsi="宋体"/>
          <w:szCs w:val="21"/>
          <w:highlight w:val="none"/>
        </w:rPr>
      </w:pPr>
      <w:r>
        <w:rPr>
          <w:rFonts w:hint="eastAsia" w:ascii="宋体" w:hAnsi="宋体"/>
          <w:szCs w:val="21"/>
          <w:highlight w:val="none"/>
        </w:rPr>
        <w:t>我单位不在财政部门依法作出的禁止参加政府采购活动的行政处罚期限内。</w:t>
      </w:r>
    </w:p>
    <w:p>
      <w:pPr>
        <w:spacing w:line="360" w:lineRule="auto"/>
        <w:ind w:firstLine="420" w:firstLineChars="200"/>
        <w:rPr>
          <w:rFonts w:ascii="宋体" w:hAnsi="宋体"/>
          <w:szCs w:val="21"/>
          <w:highlight w:val="none"/>
        </w:rPr>
      </w:pPr>
      <w:r>
        <w:rPr>
          <w:rFonts w:hint="eastAsia" w:ascii="宋体" w:hAnsi="宋体"/>
          <w:szCs w:val="21"/>
          <w:highlight w:val="none"/>
        </w:rPr>
        <w:t>特此声明！</w:t>
      </w:r>
    </w:p>
    <w:p>
      <w:pPr>
        <w:spacing w:line="360" w:lineRule="auto"/>
        <w:ind w:firstLine="420" w:firstLineChars="200"/>
        <w:rPr>
          <w:rFonts w:ascii="宋体" w:hAnsi="宋体"/>
          <w:szCs w:val="21"/>
          <w:highlight w:val="none"/>
        </w:rPr>
      </w:pPr>
      <w:r>
        <w:rPr>
          <w:rFonts w:hint="eastAsia" w:ascii="宋体" w:hAnsi="宋体"/>
          <w:szCs w:val="21"/>
          <w:highlight w:val="none"/>
        </w:rPr>
        <w:t xml:space="preserve">                                                  </w:t>
      </w:r>
    </w:p>
    <w:p>
      <w:pPr>
        <w:spacing w:line="360" w:lineRule="auto"/>
        <w:ind w:firstLine="420" w:firstLineChars="200"/>
        <w:rPr>
          <w:rFonts w:ascii="宋体" w:hAnsi="宋体"/>
          <w:szCs w:val="21"/>
          <w:highlight w:val="none"/>
        </w:rPr>
      </w:pPr>
      <w:r>
        <w:rPr>
          <w:rFonts w:hint="eastAsia" w:ascii="宋体" w:hAnsi="宋体"/>
          <w:szCs w:val="21"/>
          <w:highlight w:val="none"/>
        </w:rPr>
        <w:t xml:space="preserve">                                            供应商名称（盖章）：                        </w:t>
      </w:r>
    </w:p>
    <w:p>
      <w:pPr>
        <w:spacing w:line="360" w:lineRule="auto"/>
        <w:ind w:firstLine="420" w:firstLineChars="200"/>
        <w:rPr>
          <w:rFonts w:ascii="宋体" w:hAnsi="宋体"/>
          <w:szCs w:val="21"/>
          <w:highlight w:val="none"/>
        </w:rPr>
      </w:pPr>
      <w:r>
        <w:rPr>
          <w:rFonts w:hint="eastAsia" w:ascii="宋体" w:hAnsi="宋体"/>
          <w:szCs w:val="21"/>
          <w:highlight w:val="none"/>
        </w:rPr>
        <w:t xml:space="preserve">                                            法定代表人或委托代理人（签字或盖章）：                </w:t>
      </w:r>
    </w:p>
    <w:p>
      <w:pPr>
        <w:spacing w:line="360" w:lineRule="auto"/>
        <w:ind w:firstLine="420" w:firstLineChars="200"/>
        <w:rPr>
          <w:rFonts w:ascii="宋体" w:hAnsi="宋体"/>
          <w:szCs w:val="21"/>
          <w:highlight w:val="none"/>
        </w:rPr>
      </w:pPr>
      <w:r>
        <w:rPr>
          <w:rFonts w:hint="eastAsia" w:ascii="宋体" w:hAnsi="宋体"/>
          <w:szCs w:val="21"/>
          <w:highlight w:val="none"/>
        </w:rPr>
        <w:t xml:space="preserve">                                            日期：     年      月      日</w:t>
      </w:r>
    </w:p>
    <w:p>
      <w:pPr>
        <w:spacing w:line="360" w:lineRule="auto"/>
        <w:ind w:firstLine="420" w:firstLineChars="200"/>
        <w:rPr>
          <w:rFonts w:ascii="宋体"/>
          <w:szCs w:val="21"/>
          <w:highlight w:val="none"/>
        </w:rPr>
      </w:pPr>
    </w:p>
    <w:p>
      <w:pPr>
        <w:spacing w:line="360" w:lineRule="auto"/>
        <w:ind w:firstLine="420" w:firstLineChars="200"/>
        <w:rPr>
          <w:rFonts w:ascii="宋体" w:cs="宋体"/>
          <w:szCs w:val="21"/>
          <w:highlight w:val="none"/>
        </w:rPr>
      </w:pPr>
      <w:r>
        <w:rPr>
          <w:rFonts w:hint="eastAsia" w:ascii="宋体" w:hAnsi="宋体"/>
          <w:szCs w:val="21"/>
          <w:highlight w:val="none"/>
        </w:rPr>
        <w:t>8、</w:t>
      </w:r>
      <w:r>
        <w:rPr>
          <w:rFonts w:hint="eastAsia" w:ascii="宋体" w:hAnsi="宋体" w:cs="宋体"/>
          <w:szCs w:val="21"/>
          <w:highlight w:val="none"/>
        </w:rPr>
        <w:t>一个完整年度（</w:t>
      </w:r>
      <w:r>
        <w:rPr>
          <w:rFonts w:hint="eastAsia" w:ascii="宋体" w:hAnsi="宋体"/>
          <w:szCs w:val="21"/>
          <w:highlight w:val="none"/>
        </w:rPr>
        <w:t>2019年或2020年</w:t>
      </w:r>
      <w:r>
        <w:rPr>
          <w:rFonts w:hint="eastAsia" w:ascii="宋体" w:hAnsi="宋体" w:cs="宋体"/>
          <w:szCs w:val="21"/>
          <w:highlight w:val="none"/>
        </w:rPr>
        <w:t>）财务会计报表。</w:t>
      </w:r>
    </w:p>
    <w:p>
      <w:pPr>
        <w:spacing w:line="360" w:lineRule="auto"/>
        <w:ind w:firstLine="840" w:firstLineChars="400"/>
        <w:rPr>
          <w:rFonts w:ascii="宋体" w:cs="宋体"/>
          <w:szCs w:val="21"/>
          <w:highlight w:val="none"/>
        </w:rPr>
      </w:pPr>
      <w:r>
        <w:rPr>
          <w:rFonts w:hint="eastAsia" w:ascii="宋体" w:hAnsi="宋体" w:cs="宋体"/>
          <w:szCs w:val="21"/>
          <w:highlight w:val="none"/>
        </w:rPr>
        <w:t>如供应商为新成立的供应商，请提供上一月度（或季度）财务会计报表复印件。</w:t>
      </w:r>
    </w:p>
    <w:p>
      <w:pPr>
        <w:spacing w:line="360" w:lineRule="auto"/>
        <w:ind w:firstLine="420" w:firstLineChars="200"/>
        <w:rPr>
          <w:rFonts w:ascii="宋体" w:cs="宋体"/>
          <w:b/>
          <w:spacing w:val="-4"/>
          <w:kern w:val="0"/>
          <w:szCs w:val="21"/>
          <w:highlight w:val="none"/>
        </w:rPr>
      </w:pPr>
      <w:r>
        <w:rPr>
          <w:rFonts w:hint="eastAsia" w:ascii="宋体" w:hAnsi="宋体" w:cs="宋体"/>
          <w:szCs w:val="21"/>
          <w:highlight w:val="none"/>
        </w:rPr>
        <w:t>9、本项目磋商文件中要求供应商提供的其他证明材料。</w:t>
      </w:r>
    </w:p>
    <w:p>
      <w:pPr>
        <w:spacing w:line="360" w:lineRule="auto"/>
        <w:ind w:firstLine="404" w:firstLineChars="200"/>
        <w:rPr>
          <w:rFonts w:ascii="宋体" w:hAnsi="宋体" w:cs="宋体"/>
          <w:spacing w:val="-4"/>
          <w:kern w:val="0"/>
          <w:szCs w:val="21"/>
          <w:highlight w:val="none"/>
        </w:rPr>
      </w:pPr>
      <w:r>
        <w:rPr>
          <w:rFonts w:hint="eastAsia" w:ascii="宋体" w:hAnsi="宋体" w:cs="宋体"/>
          <w:spacing w:val="-4"/>
          <w:kern w:val="0"/>
          <w:szCs w:val="21"/>
          <w:highlight w:val="none"/>
        </w:rPr>
        <w:t>10、</w:t>
      </w:r>
      <w:r>
        <w:rPr>
          <w:rFonts w:hint="eastAsia" w:ascii="宋体" w:hAnsi="宋体"/>
          <w:szCs w:val="21"/>
          <w:highlight w:val="none"/>
        </w:rPr>
        <w:t>须提供上述资格证明文件复印件或扫描件或影印件</w:t>
      </w:r>
      <w:r>
        <w:rPr>
          <w:rFonts w:hint="eastAsia" w:ascii="宋体" w:hAnsi="宋体" w:cs="宋体"/>
          <w:spacing w:val="-4"/>
          <w:kern w:val="0"/>
          <w:szCs w:val="21"/>
          <w:highlight w:val="none"/>
        </w:rPr>
        <w:t>。</w:t>
      </w:r>
    </w:p>
    <w:p>
      <w:pPr>
        <w:spacing w:line="360" w:lineRule="auto"/>
        <w:rPr>
          <w:rFonts w:ascii="宋体" w:cs="宋体"/>
          <w:szCs w:val="21"/>
          <w:highlight w:val="none"/>
        </w:rPr>
      </w:pPr>
      <w:r>
        <w:rPr>
          <w:rFonts w:ascii="宋体" w:hAnsi="宋体" w:cs="宋体"/>
          <w:spacing w:val="-4"/>
          <w:kern w:val="0"/>
          <w:szCs w:val="21"/>
          <w:highlight w:val="none"/>
        </w:rPr>
        <w:br w:type="page"/>
      </w:r>
      <w:r>
        <w:rPr>
          <w:rFonts w:hint="eastAsia" w:ascii="宋体" w:hAnsi="宋体" w:cs="宋体"/>
          <w:b/>
          <w:spacing w:val="-4"/>
          <w:kern w:val="0"/>
          <w:sz w:val="28"/>
          <w:szCs w:val="28"/>
          <w:highlight w:val="none"/>
        </w:rPr>
        <w:t>附件：</w:t>
      </w:r>
    </w:p>
    <w:p>
      <w:pPr>
        <w:wordWrap w:val="0"/>
        <w:spacing w:line="360" w:lineRule="auto"/>
        <w:jc w:val="center"/>
        <w:rPr>
          <w:rFonts w:ascii="宋体" w:cs="宋体"/>
          <w:b/>
          <w:sz w:val="24"/>
          <w:szCs w:val="24"/>
          <w:highlight w:val="none"/>
        </w:rPr>
      </w:pPr>
      <w:r>
        <w:rPr>
          <w:rFonts w:hint="eastAsia" w:ascii="宋体" w:hAnsi="宋体" w:cs="宋体"/>
          <w:b/>
          <w:sz w:val="24"/>
          <w:szCs w:val="24"/>
          <w:highlight w:val="none"/>
        </w:rPr>
        <w:t>授权书</w:t>
      </w:r>
    </w:p>
    <w:p>
      <w:pPr>
        <w:snapToGrid w:val="0"/>
        <w:spacing w:line="360" w:lineRule="auto"/>
        <w:ind w:firstLine="480" w:firstLineChars="200"/>
        <w:jc w:val="left"/>
        <w:rPr>
          <w:rFonts w:ascii="宋体" w:hAnsi="宋体"/>
          <w:sz w:val="24"/>
          <w:szCs w:val="28"/>
          <w:highlight w:val="none"/>
        </w:rPr>
      </w:pPr>
    </w:p>
    <w:p>
      <w:pPr>
        <w:snapToGrid w:val="0"/>
        <w:spacing w:line="360" w:lineRule="auto"/>
        <w:ind w:firstLine="480" w:firstLineChars="200"/>
        <w:jc w:val="left"/>
        <w:rPr>
          <w:rFonts w:ascii="宋体" w:hAnsi="宋体"/>
          <w:sz w:val="24"/>
          <w:szCs w:val="28"/>
          <w:highlight w:val="none"/>
        </w:rPr>
      </w:pPr>
      <w:r>
        <w:rPr>
          <w:rFonts w:hint="eastAsia" w:ascii="宋体" w:hAnsi="宋体"/>
          <w:sz w:val="24"/>
          <w:szCs w:val="28"/>
          <w:highlight w:val="none"/>
        </w:rPr>
        <w:t>本授权书声明：</w:t>
      </w:r>
      <w:r>
        <w:rPr>
          <w:rFonts w:hint="eastAsia" w:ascii="宋体" w:hAnsi="宋体"/>
          <w:sz w:val="24"/>
          <w:szCs w:val="28"/>
          <w:highlight w:val="none"/>
          <w:u w:val="single"/>
        </w:rPr>
        <w:t xml:space="preserve">             </w:t>
      </w:r>
      <w:r>
        <w:rPr>
          <w:rFonts w:hint="eastAsia" w:ascii="宋体" w:hAnsi="宋体"/>
          <w:sz w:val="24"/>
          <w:szCs w:val="28"/>
          <w:highlight w:val="none"/>
        </w:rPr>
        <w:t>（供应商名称）授权</w:t>
      </w:r>
      <w:r>
        <w:rPr>
          <w:rFonts w:hint="eastAsia" w:ascii="宋体" w:hAnsi="宋体"/>
          <w:sz w:val="24"/>
          <w:szCs w:val="28"/>
          <w:highlight w:val="none"/>
          <w:u w:val="single"/>
        </w:rPr>
        <w:t xml:space="preserve">       </w:t>
      </w:r>
      <w:r>
        <w:rPr>
          <w:rFonts w:hint="eastAsia" w:ascii="宋体" w:hAnsi="宋体"/>
          <w:sz w:val="24"/>
          <w:szCs w:val="28"/>
          <w:highlight w:val="none"/>
        </w:rPr>
        <w:t>（供应商授权代表姓名、职务）代表我方参加本项目</w:t>
      </w:r>
      <w:r>
        <w:rPr>
          <w:rFonts w:hint="eastAsia" w:ascii="宋体" w:hAnsi="宋体"/>
          <w:bCs/>
          <w:sz w:val="24"/>
          <w:szCs w:val="28"/>
          <w:highlight w:val="none"/>
        </w:rPr>
        <w:t>采购活动</w:t>
      </w:r>
      <w:r>
        <w:rPr>
          <w:rFonts w:hint="eastAsia" w:ascii="宋体" w:hAnsi="宋体"/>
          <w:sz w:val="24"/>
          <w:szCs w:val="28"/>
          <w:highlight w:val="none"/>
        </w:rPr>
        <w:t>，全权代表我方处理磋商过程的一切事宜，包括但不限于：提交响应文件、参与磋商、签约等。供应商授权代表在采购活动过程中所签署的一切文件和处理与之有关的一切事务，我方均予以认可并对此承担责任。供应商授权代表无转委托权。特此授权。</w:t>
      </w:r>
    </w:p>
    <w:p>
      <w:pPr>
        <w:snapToGrid w:val="0"/>
        <w:spacing w:line="360" w:lineRule="auto"/>
        <w:ind w:firstLine="480" w:firstLineChars="200"/>
        <w:jc w:val="left"/>
        <w:rPr>
          <w:rFonts w:ascii="宋体" w:hAnsi="宋体"/>
          <w:sz w:val="24"/>
          <w:szCs w:val="28"/>
          <w:highlight w:val="none"/>
        </w:rPr>
      </w:pPr>
      <w:r>
        <w:rPr>
          <w:rFonts w:hint="eastAsia" w:ascii="宋体" w:hAnsi="宋体"/>
          <w:sz w:val="24"/>
          <w:szCs w:val="28"/>
          <w:highlight w:val="none"/>
        </w:rPr>
        <w:t>本授权书自出具之日起生效。</w:t>
      </w:r>
    </w:p>
    <w:p>
      <w:pPr>
        <w:snapToGrid w:val="0"/>
        <w:spacing w:line="360" w:lineRule="auto"/>
        <w:ind w:firstLine="482" w:firstLineChars="200"/>
        <w:jc w:val="left"/>
        <w:rPr>
          <w:rFonts w:ascii="宋体" w:hAnsi="宋体"/>
          <w:sz w:val="24"/>
          <w:highlight w:val="none"/>
        </w:rPr>
      </w:pPr>
      <w:r>
        <w:rPr>
          <w:rFonts w:hint="eastAsia" w:ascii="宋体" w:hAnsi="宋体"/>
          <w:b/>
          <w:bCs/>
          <w:sz w:val="24"/>
          <w:szCs w:val="28"/>
          <w:highlight w:val="none"/>
        </w:rPr>
        <w:t>授权代表</w:t>
      </w:r>
      <w:r>
        <w:rPr>
          <w:rFonts w:hint="eastAsia" w:ascii="宋体" w:hAnsi="宋体"/>
          <w:b/>
          <w:bCs/>
          <w:sz w:val="24"/>
          <w:highlight w:val="none"/>
        </w:rPr>
        <w:t>身份证明复印件或扫描件：</w:t>
      </w:r>
    </w:p>
    <w:p>
      <w:pPr>
        <w:snapToGrid w:val="0"/>
        <w:spacing w:line="360" w:lineRule="auto"/>
        <w:ind w:firstLine="480" w:firstLineChars="200"/>
        <w:jc w:val="left"/>
        <w:rPr>
          <w:rFonts w:ascii="宋体" w:hAnsi="宋体"/>
          <w:sz w:val="24"/>
          <w:highlight w:val="none"/>
        </w:rPr>
      </w:pPr>
    </w:p>
    <w:p>
      <w:pPr>
        <w:snapToGrid w:val="0"/>
        <w:spacing w:line="360" w:lineRule="auto"/>
        <w:ind w:firstLine="480" w:firstLineChars="200"/>
        <w:jc w:val="left"/>
        <w:rPr>
          <w:rFonts w:ascii="宋体" w:hAnsi="宋体"/>
          <w:sz w:val="24"/>
          <w:szCs w:val="28"/>
          <w:highlight w:val="none"/>
        </w:rPr>
      </w:pPr>
    </w:p>
    <w:p>
      <w:pPr>
        <w:snapToGrid w:val="0"/>
        <w:spacing w:line="360" w:lineRule="auto"/>
        <w:ind w:firstLine="480" w:firstLineChars="200"/>
        <w:jc w:val="left"/>
        <w:rPr>
          <w:rFonts w:ascii="宋体" w:hAnsi="宋体"/>
          <w:sz w:val="24"/>
          <w:szCs w:val="28"/>
          <w:highlight w:val="none"/>
        </w:rPr>
      </w:pPr>
    </w:p>
    <w:p>
      <w:pPr>
        <w:snapToGrid w:val="0"/>
        <w:spacing w:line="360" w:lineRule="auto"/>
        <w:ind w:firstLine="480" w:firstLineChars="200"/>
        <w:jc w:val="left"/>
        <w:rPr>
          <w:rFonts w:ascii="宋体" w:hAnsi="宋体"/>
          <w:sz w:val="24"/>
          <w:szCs w:val="28"/>
          <w:highlight w:val="none"/>
        </w:rPr>
      </w:pPr>
      <w:r>
        <w:rPr>
          <w:rFonts w:hint="eastAsia" w:ascii="宋体" w:hAnsi="宋体"/>
          <w:sz w:val="24"/>
          <w:szCs w:val="28"/>
          <w:highlight w:val="none"/>
        </w:rPr>
        <w:t>授权代表联系方式：</w:t>
      </w:r>
      <w:r>
        <w:rPr>
          <w:rFonts w:hint="eastAsia" w:ascii="宋体" w:hAnsi="宋体"/>
          <w:sz w:val="24"/>
          <w:szCs w:val="28"/>
          <w:highlight w:val="none"/>
          <w:u w:val="single"/>
        </w:rPr>
        <w:t xml:space="preserve">          （填写手机号码）</w:t>
      </w:r>
    </w:p>
    <w:p>
      <w:pPr>
        <w:spacing w:line="360" w:lineRule="auto"/>
        <w:ind w:firstLine="480" w:firstLineChars="200"/>
        <w:rPr>
          <w:rFonts w:ascii="宋体" w:hAnsi="宋体"/>
          <w:sz w:val="24"/>
          <w:szCs w:val="28"/>
          <w:highlight w:val="none"/>
        </w:rPr>
      </w:pPr>
      <w:r>
        <w:rPr>
          <w:rFonts w:hint="eastAsia" w:ascii="宋体" w:hAnsi="宋体"/>
          <w:sz w:val="24"/>
          <w:szCs w:val="28"/>
          <w:highlight w:val="none"/>
        </w:rPr>
        <w:t>特此声明。</w:t>
      </w:r>
    </w:p>
    <w:p>
      <w:pPr>
        <w:spacing w:line="360" w:lineRule="auto"/>
        <w:ind w:firstLine="4800" w:firstLineChars="2000"/>
        <w:rPr>
          <w:rFonts w:ascii="宋体" w:hAnsi="宋体"/>
          <w:bCs/>
          <w:sz w:val="24"/>
          <w:szCs w:val="28"/>
          <w:highlight w:val="none"/>
        </w:rPr>
      </w:pPr>
      <w:r>
        <w:rPr>
          <w:rFonts w:hint="eastAsia" w:ascii="宋体" w:hAnsi="宋体"/>
          <w:bCs/>
          <w:sz w:val="24"/>
          <w:szCs w:val="28"/>
          <w:highlight w:val="none"/>
        </w:rPr>
        <w:t>供应商名称（盖章）：</w:t>
      </w:r>
      <w:r>
        <w:rPr>
          <w:rFonts w:hint="eastAsia" w:ascii="宋体" w:hAnsi="宋体"/>
          <w:bCs/>
          <w:sz w:val="24"/>
          <w:szCs w:val="28"/>
          <w:highlight w:val="none"/>
          <w:u w:val="single"/>
        </w:rPr>
        <w:t xml:space="preserve">                    </w:t>
      </w:r>
    </w:p>
    <w:p>
      <w:pPr>
        <w:spacing w:line="360" w:lineRule="auto"/>
        <w:jc w:val="right"/>
        <w:rPr>
          <w:rFonts w:ascii="宋体" w:hAnsi="宋体"/>
          <w:sz w:val="24"/>
          <w:szCs w:val="28"/>
          <w:highlight w:val="none"/>
        </w:rPr>
      </w:pPr>
      <w:r>
        <w:rPr>
          <w:rFonts w:hint="eastAsia" w:ascii="宋体" w:hAnsi="宋体"/>
          <w:sz w:val="24"/>
          <w:szCs w:val="28"/>
          <w:highlight w:val="none"/>
        </w:rPr>
        <w:t>日  期：</w:t>
      </w:r>
      <w:r>
        <w:rPr>
          <w:rFonts w:hint="eastAsia" w:ascii="宋体" w:hAnsi="宋体"/>
          <w:bCs/>
          <w:sz w:val="24"/>
          <w:szCs w:val="28"/>
          <w:highlight w:val="none"/>
        </w:rPr>
        <w:t xml:space="preserve">     年      月     日</w:t>
      </w:r>
    </w:p>
    <w:p>
      <w:pPr>
        <w:snapToGrid w:val="0"/>
        <w:spacing w:line="360" w:lineRule="auto"/>
        <w:jc w:val="left"/>
        <w:rPr>
          <w:rFonts w:ascii="宋体" w:hAnsi="宋体"/>
          <w:sz w:val="24"/>
          <w:szCs w:val="28"/>
          <w:highlight w:val="none"/>
        </w:rPr>
      </w:pPr>
      <w:r>
        <w:rPr>
          <w:rFonts w:hint="eastAsia" w:ascii="宋体" w:hAnsi="宋体"/>
          <w:sz w:val="24"/>
          <w:szCs w:val="28"/>
          <w:highlight w:val="none"/>
        </w:rPr>
        <w:t>注：</w:t>
      </w:r>
    </w:p>
    <w:p>
      <w:pPr>
        <w:snapToGrid w:val="0"/>
        <w:spacing w:line="360" w:lineRule="auto"/>
        <w:ind w:firstLine="480" w:firstLineChars="200"/>
        <w:jc w:val="left"/>
        <w:rPr>
          <w:rFonts w:ascii="宋体" w:hAnsi="宋体"/>
          <w:sz w:val="24"/>
          <w:szCs w:val="28"/>
          <w:highlight w:val="none"/>
        </w:rPr>
      </w:pPr>
      <w:r>
        <w:rPr>
          <w:rFonts w:hint="eastAsia" w:ascii="宋体" w:hAnsi="宋体"/>
          <w:sz w:val="24"/>
          <w:szCs w:val="28"/>
          <w:highlight w:val="none"/>
        </w:rPr>
        <w:t>1.本项目只允许有唯一的供应商授权代表，提供身份证明复印件或扫描件；</w:t>
      </w:r>
    </w:p>
    <w:p>
      <w:pPr>
        <w:wordWrap w:val="0"/>
        <w:spacing w:line="360" w:lineRule="auto"/>
        <w:ind w:firstLine="480" w:firstLineChars="200"/>
        <w:rPr>
          <w:rFonts w:ascii="宋体" w:hAnsi="宋体" w:cs="宋体"/>
          <w:szCs w:val="21"/>
          <w:highlight w:val="none"/>
        </w:rPr>
      </w:pPr>
      <w:r>
        <w:rPr>
          <w:rFonts w:hint="eastAsia" w:hAnsi="宋体"/>
          <w:sz w:val="24"/>
          <w:szCs w:val="28"/>
          <w:highlight w:val="none"/>
        </w:rPr>
        <w:t>2.法定代表人参加谈判的无需提供授权书，提供身份证明和营业执照复印件或扫描件。</w:t>
      </w:r>
    </w:p>
    <w:p>
      <w:pPr>
        <w:spacing w:line="360" w:lineRule="auto"/>
        <w:ind w:firstLine="608" w:firstLineChars="300"/>
        <w:rPr>
          <w:rFonts w:ascii="宋体" w:cs="宋体"/>
          <w:b/>
          <w:spacing w:val="-4"/>
          <w:kern w:val="0"/>
          <w:szCs w:val="21"/>
          <w:highlight w:val="none"/>
        </w:rPr>
      </w:pPr>
    </w:p>
    <w:bookmarkEnd w:id="168"/>
    <w:sectPr>
      <w:headerReference r:id="rId7" w:type="default"/>
      <w:footerReference r:id="rId8" w:type="default"/>
      <w:pgSz w:w="11906" w:h="16838"/>
      <w:pgMar w:top="1417" w:right="1633" w:bottom="1417" w:left="1633" w:header="851" w:footer="992" w:gutter="0"/>
      <w:pgBorders>
        <w:bottom w:val="single" w:color="auto" w:sz="4" w:space="1"/>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
    <w:altName w:val="Times New Roman"/>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Dotum">
    <w:altName w:val="Malgun Gothic"/>
    <w:panose1 w:val="020B0600000101010101"/>
    <w:charset w:val="81"/>
    <w:family w:val="swiss"/>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5"/>
      </w:rPr>
    </w:pPr>
    <w:r>
      <w:fldChar w:fldCharType="begin"/>
    </w:r>
    <w:r>
      <w:rPr>
        <w:rStyle w:val="65"/>
      </w:rPr>
      <w:instrText xml:space="preserve">PAGE  </w:instrText>
    </w:r>
    <w:r>
      <w:fldChar w:fldCharType="separate"/>
    </w:r>
    <w:r>
      <w:rPr>
        <w:rStyle w:val="65"/>
      </w:rPr>
      <w:t>1</w:t>
    </w:r>
    <w:r>
      <w:fldChar w:fldCharType="end"/>
    </w:r>
  </w:p>
  <w:p>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rPr>
        <w:rFonts w:asci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rPr>
        <w:rFonts w:ascii="宋体"/>
      </w:rPr>
    </w:pPr>
    <w:r>
      <w:pict>
        <v:shape id="_x0000_s1025" o:spid="_x0000_s1025" o:spt="202" type="#_x0000_t202" style="position:absolute;left:0pt;flip:y;margin-left:198pt;margin-top:-2.2pt;height:12.15pt;width:36pt;mso-position-horizontal-relative:margin;rotation:11796480f;z-index:251659264;mso-width-relative:page;mso-height-relative:page;" filled="f" stroked="f" coordsize="21600,21600">
          <v:path/>
          <v:fill on="f" focussize="0,0"/>
          <v:stroke on="f" joinstyle="miter"/>
          <v:imagedata o:title=""/>
          <o:lock v:ext="edit"/>
          <v:textbox inset="0mm,0mm,0mm,0mm">
            <w:txbxContent>
              <w:p>
                <w:pPr>
                  <w:pStyle w:val="36"/>
                </w:pPr>
                <w:r>
                  <w:t xml:space="preserve">第 </w:t>
                </w:r>
                <w:r>
                  <w:fldChar w:fldCharType="begin"/>
                </w:r>
                <w:r>
                  <w:instrText xml:space="preserve"> PAGE  \* MERGEFORMAT </w:instrText>
                </w:r>
                <w:r>
                  <w:fldChar w:fldCharType="separate"/>
                </w:r>
                <w:r>
                  <w:t>二</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right"/>
      <w:rPr>
        <w:rFonts w:eastAsia="楷体_GB2312"/>
        <w:i/>
      </w:rPr>
    </w:pPr>
    <w:r>
      <w:rPr>
        <w:rFonts w:hint="eastAsia" w:eastAsia="楷体_GB2312"/>
        <w:b/>
        <w:iCs/>
      </w:rPr>
      <w:t>安庆职业技术学院网络安全等级保护测评项目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328"/>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00000002"/>
    <w:multiLevelType w:val="singleLevel"/>
    <w:tmpl w:val="00000002"/>
    <w:lvl w:ilvl="0" w:tentative="0">
      <w:start w:val="1"/>
      <w:numFmt w:val="bullet"/>
      <w:pStyle w:val="356"/>
      <w:lvlText w:val=""/>
      <w:lvlJc w:val="left"/>
      <w:pPr>
        <w:tabs>
          <w:tab w:val="left" w:pos="360"/>
        </w:tabs>
        <w:ind w:left="360" w:hanging="360"/>
      </w:pPr>
      <w:rPr>
        <w:rFonts w:hint="default" w:ascii="Symbol" w:hAnsi="Symbol"/>
      </w:rPr>
    </w:lvl>
  </w:abstractNum>
  <w:abstractNum w:abstractNumId="2">
    <w:nsid w:val="00000005"/>
    <w:multiLevelType w:val="singleLevel"/>
    <w:tmpl w:val="00000005"/>
    <w:lvl w:ilvl="0" w:tentative="0">
      <w:start w:val="1"/>
      <w:numFmt w:val="chineseCounting"/>
      <w:suff w:val="nothing"/>
      <w:lvlText w:val="%1、"/>
      <w:lvlJc w:val="left"/>
      <w:rPr>
        <w:rFonts w:cs="Times New Roman"/>
      </w:rPr>
    </w:lvl>
  </w:abstractNum>
  <w:abstractNum w:abstractNumId="3">
    <w:nsid w:val="0000000A"/>
    <w:multiLevelType w:val="singleLevel"/>
    <w:tmpl w:val="0000000A"/>
    <w:lvl w:ilvl="0" w:tentative="0">
      <w:start w:val="3"/>
      <w:numFmt w:val="chineseCounting"/>
      <w:suff w:val="nothing"/>
      <w:lvlText w:val="%1、"/>
      <w:lvlJc w:val="left"/>
      <w:rPr>
        <w:rFonts w:cs="Times New Roman"/>
      </w:rPr>
    </w:lvl>
  </w:abstractNum>
  <w:abstractNum w:abstractNumId="4">
    <w:nsid w:val="0000000C"/>
    <w:multiLevelType w:val="singleLevel"/>
    <w:tmpl w:val="0000000C"/>
    <w:lvl w:ilvl="0" w:tentative="0">
      <w:start w:val="1"/>
      <w:numFmt w:val="chineseCounting"/>
      <w:suff w:val="nothing"/>
      <w:lvlText w:val="%1、"/>
      <w:lvlJc w:val="left"/>
      <w:rPr>
        <w:rFonts w:cs="Times New Roman"/>
      </w:rPr>
    </w:lvl>
  </w:abstractNum>
  <w:abstractNum w:abstractNumId="5">
    <w:nsid w:val="0000000D"/>
    <w:multiLevelType w:val="singleLevel"/>
    <w:tmpl w:val="0000000D"/>
    <w:lvl w:ilvl="0" w:tentative="0">
      <w:start w:val="2"/>
      <w:numFmt w:val="chineseCounting"/>
      <w:suff w:val="nothing"/>
      <w:lvlText w:val="%1、"/>
      <w:lvlJc w:val="left"/>
      <w:rPr>
        <w:rFonts w:cs="Times New Roman"/>
      </w:rPr>
    </w:lvl>
  </w:abstractNum>
  <w:abstractNum w:abstractNumId="6">
    <w:nsid w:val="00000011"/>
    <w:multiLevelType w:val="multilevel"/>
    <w:tmpl w:val="00000011"/>
    <w:lvl w:ilvl="0" w:tentative="0">
      <w:start w:val="1"/>
      <w:numFmt w:val="decimal"/>
      <w:pStyle w:val="343"/>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1"/>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7"/>
    <w:multiLevelType w:val="singleLevel"/>
    <w:tmpl w:val="00000017"/>
    <w:lvl w:ilvl="0" w:tentative="0">
      <w:start w:val="11"/>
      <w:numFmt w:val="decimal"/>
      <w:suff w:val="nothing"/>
      <w:lvlText w:val="%1、"/>
      <w:lvlJc w:val="left"/>
      <w:rPr>
        <w:rFonts w:cs="Times New Roman"/>
      </w:rPr>
    </w:lvl>
  </w:abstractNum>
  <w:abstractNum w:abstractNumId="8">
    <w:nsid w:val="00000018"/>
    <w:multiLevelType w:val="singleLevel"/>
    <w:tmpl w:val="00000018"/>
    <w:lvl w:ilvl="0" w:tentative="0">
      <w:start w:val="4"/>
      <w:numFmt w:val="chineseCounting"/>
      <w:suff w:val="nothing"/>
      <w:lvlText w:val="%1、"/>
      <w:lvlJc w:val="left"/>
      <w:rPr>
        <w:rFonts w:cs="Times New Roman"/>
      </w:rPr>
    </w:lvl>
  </w:abstractNum>
  <w:abstractNum w:abstractNumId="9">
    <w:nsid w:val="041303FE"/>
    <w:multiLevelType w:val="multilevel"/>
    <w:tmpl w:val="041303FE"/>
    <w:lvl w:ilvl="0" w:tentative="0">
      <w:start w:val="1"/>
      <w:numFmt w:val="decimal"/>
      <w:suff w:val="space"/>
      <w:lvlText w:val="%1)"/>
      <w:lvlJc w:val="left"/>
      <w:pPr>
        <w:ind w:left="845" w:hanging="420"/>
      </w:pPr>
      <w:rPr>
        <w:rFonts w:hint="eastAsia"/>
      </w:rPr>
    </w:lvl>
    <w:lvl w:ilvl="1" w:tentative="0">
      <w:start w:val="1"/>
      <w:numFmt w:val="lowerLetter"/>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10">
    <w:nsid w:val="1A58484B"/>
    <w:multiLevelType w:val="multilevel"/>
    <w:tmpl w:val="1A58484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DC001FD"/>
    <w:multiLevelType w:val="multilevel"/>
    <w:tmpl w:val="1DC001F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F7203B5"/>
    <w:multiLevelType w:val="multilevel"/>
    <w:tmpl w:val="1F7203B5"/>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3">
    <w:nsid w:val="24366283"/>
    <w:multiLevelType w:val="multilevel"/>
    <w:tmpl w:val="24366283"/>
    <w:lvl w:ilvl="0" w:tentative="0">
      <w:start w:val="1"/>
      <w:numFmt w:val="decimal"/>
      <w:pStyle w:val="348"/>
      <w:lvlText w:val="%1"/>
      <w:lvlJc w:val="left"/>
      <w:pPr>
        <w:tabs>
          <w:tab w:val="left" w:pos="567"/>
        </w:tabs>
        <w:ind w:left="567" w:hanging="567"/>
      </w:pPr>
      <w:rPr>
        <w:rFonts w:hint="eastAsia" w:cs="Times New Roman"/>
      </w:rPr>
    </w:lvl>
    <w:lvl w:ilvl="1" w:tentative="0">
      <w:start w:val="1"/>
      <w:numFmt w:val="decimal"/>
      <w:pStyle w:val="345"/>
      <w:lvlText w:val="%1.%2"/>
      <w:lvlJc w:val="left"/>
      <w:pPr>
        <w:tabs>
          <w:tab w:val="left" w:pos="1004"/>
        </w:tabs>
        <w:ind w:left="567" w:hanging="283"/>
      </w:pPr>
      <w:rPr>
        <w:rFonts w:hint="eastAsia" w:cs="Times New Roman"/>
      </w:rPr>
    </w:lvl>
    <w:lvl w:ilvl="2" w:tentative="0">
      <w:start w:val="1"/>
      <w:numFmt w:val="decimal"/>
      <w:pStyle w:val="344"/>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14">
    <w:nsid w:val="6C792F9E"/>
    <w:multiLevelType w:val="multilevel"/>
    <w:tmpl w:val="6C792F9E"/>
    <w:lvl w:ilvl="0" w:tentative="0">
      <w:start w:val="1"/>
      <w:numFmt w:val="decimal"/>
      <w:lvlText w:val="%1"/>
      <w:lvlJc w:val="left"/>
      <w:pPr>
        <w:tabs>
          <w:tab w:val="left" w:pos="425"/>
        </w:tabs>
        <w:ind w:left="0" w:firstLine="0"/>
      </w:pPr>
      <w:rPr>
        <w:rFonts w:hint="eastAsia"/>
        <w:sz w:val="24"/>
        <w:szCs w:val="24"/>
      </w:rPr>
    </w:lvl>
    <w:lvl w:ilvl="1" w:tentative="0">
      <w:start w:val="1"/>
      <w:numFmt w:val="lowerLetter"/>
      <w:lvlText w:val="%2）"/>
      <w:lvlJc w:val="left"/>
      <w:pPr>
        <w:tabs>
          <w:tab w:val="left" w:pos="567"/>
        </w:tabs>
        <w:ind w:left="567" w:hanging="567"/>
      </w:pPr>
      <w:rPr>
        <w:rFonts w:hint="eastAsia"/>
        <w:sz w:val="24"/>
      </w:rPr>
    </w:lvl>
    <w:lvl w:ilvl="2" w:tentative="0">
      <w:start w:val="1"/>
      <w:numFmt w:val="decimal"/>
      <w:lvlText w:val="%1.%2.%3"/>
      <w:lvlJc w:val="left"/>
      <w:pPr>
        <w:tabs>
          <w:tab w:val="left" w:pos="851"/>
        </w:tabs>
        <w:ind w:left="851" w:hanging="709"/>
      </w:pPr>
      <w:rPr>
        <w:rFonts w:hint="eastAsia"/>
        <w:b w:val="0"/>
        <w:sz w:val="24"/>
        <w:szCs w:val="24"/>
      </w:rPr>
    </w:lvl>
    <w:lvl w:ilvl="3" w:tentative="0">
      <w:start w:val="1"/>
      <w:numFmt w:val="decimal"/>
      <w:lvlText w:val="%1.%2.%3.%4"/>
      <w:lvlJc w:val="left"/>
      <w:pPr>
        <w:tabs>
          <w:tab w:val="left" w:pos="851"/>
        </w:tabs>
        <w:ind w:left="851" w:hanging="851"/>
      </w:pPr>
      <w:rPr>
        <w:rFonts w:hint="default" w:ascii="等线" w:hAnsi="等线" w:eastAsia="等线"/>
        <w:b w:val="0"/>
        <w:i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6"/>
  </w:num>
  <w:num w:numId="3">
    <w:abstractNumId w:val="13"/>
  </w:num>
  <w:num w:numId="4">
    <w:abstractNumId w:val="1"/>
  </w:num>
  <w:num w:numId="5">
    <w:abstractNumId w:val="3"/>
  </w:num>
  <w:num w:numId="6">
    <w:abstractNumId w:val="7"/>
  </w:num>
  <w:num w:numId="7">
    <w:abstractNumId w:val="11"/>
  </w:num>
  <w:num w:numId="8">
    <w:abstractNumId w:val="10"/>
  </w:num>
  <w:num w:numId="9">
    <w:abstractNumId w:val="9"/>
  </w:num>
  <w:num w:numId="10">
    <w:abstractNumId w:val="12"/>
  </w:num>
  <w:num w:numId="11">
    <w:abstractNumId w:val="14"/>
  </w:num>
  <w:num w:numId="12">
    <w:abstractNumId w:val="2"/>
  </w:num>
  <w:num w:numId="13">
    <w:abstractNumId w:val="4"/>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10694"/>
    <w:rsid w:val="000235B5"/>
    <w:rsid w:val="0002413E"/>
    <w:rsid w:val="00024F9F"/>
    <w:rsid w:val="000370E3"/>
    <w:rsid w:val="000507E8"/>
    <w:rsid w:val="00054A66"/>
    <w:rsid w:val="00064474"/>
    <w:rsid w:val="00073044"/>
    <w:rsid w:val="0007476A"/>
    <w:rsid w:val="00087987"/>
    <w:rsid w:val="00093C41"/>
    <w:rsid w:val="000B6F75"/>
    <w:rsid w:val="000C1ABF"/>
    <w:rsid w:val="000D3ED7"/>
    <w:rsid w:val="000E5109"/>
    <w:rsid w:val="001025CA"/>
    <w:rsid w:val="0011028C"/>
    <w:rsid w:val="001108AC"/>
    <w:rsid w:val="00116DDE"/>
    <w:rsid w:val="001238B8"/>
    <w:rsid w:val="00125483"/>
    <w:rsid w:val="00126CB2"/>
    <w:rsid w:val="0012783F"/>
    <w:rsid w:val="001347C2"/>
    <w:rsid w:val="001509DE"/>
    <w:rsid w:val="00153D99"/>
    <w:rsid w:val="00157A32"/>
    <w:rsid w:val="00160F44"/>
    <w:rsid w:val="0016586D"/>
    <w:rsid w:val="00171D5E"/>
    <w:rsid w:val="00172A27"/>
    <w:rsid w:val="001A2433"/>
    <w:rsid w:val="001B1EF8"/>
    <w:rsid w:val="001B3868"/>
    <w:rsid w:val="001B6DBE"/>
    <w:rsid w:val="001C2583"/>
    <w:rsid w:val="001C3A1C"/>
    <w:rsid w:val="001D7738"/>
    <w:rsid w:val="001E606E"/>
    <w:rsid w:val="001F1418"/>
    <w:rsid w:val="00225FE3"/>
    <w:rsid w:val="00232BD2"/>
    <w:rsid w:val="0025055D"/>
    <w:rsid w:val="00252D15"/>
    <w:rsid w:val="00257B90"/>
    <w:rsid w:val="00261B95"/>
    <w:rsid w:val="002663B5"/>
    <w:rsid w:val="00294358"/>
    <w:rsid w:val="002978A1"/>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6932"/>
    <w:rsid w:val="003A3866"/>
    <w:rsid w:val="003A575B"/>
    <w:rsid w:val="003A5835"/>
    <w:rsid w:val="003A6123"/>
    <w:rsid w:val="003B16EE"/>
    <w:rsid w:val="003C1917"/>
    <w:rsid w:val="003C194F"/>
    <w:rsid w:val="003C2743"/>
    <w:rsid w:val="003C4132"/>
    <w:rsid w:val="003C5DB5"/>
    <w:rsid w:val="003D04EA"/>
    <w:rsid w:val="003E0FD3"/>
    <w:rsid w:val="003E5657"/>
    <w:rsid w:val="004004D2"/>
    <w:rsid w:val="004059EB"/>
    <w:rsid w:val="00406A40"/>
    <w:rsid w:val="00432F86"/>
    <w:rsid w:val="004430CB"/>
    <w:rsid w:val="004439D2"/>
    <w:rsid w:val="004474A8"/>
    <w:rsid w:val="004477BC"/>
    <w:rsid w:val="00450D0D"/>
    <w:rsid w:val="004531A3"/>
    <w:rsid w:val="0047383D"/>
    <w:rsid w:val="00480FA5"/>
    <w:rsid w:val="00491D34"/>
    <w:rsid w:val="00492186"/>
    <w:rsid w:val="004957EB"/>
    <w:rsid w:val="004B3E89"/>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602580"/>
    <w:rsid w:val="00624C59"/>
    <w:rsid w:val="00625F94"/>
    <w:rsid w:val="00627215"/>
    <w:rsid w:val="00631E06"/>
    <w:rsid w:val="006443D9"/>
    <w:rsid w:val="00660ECC"/>
    <w:rsid w:val="006729F3"/>
    <w:rsid w:val="00693ACE"/>
    <w:rsid w:val="006A479F"/>
    <w:rsid w:val="006B1B74"/>
    <w:rsid w:val="006B3D08"/>
    <w:rsid w:val="006B43C0"/>
    <w:rsid w:val="006C09C6"/>
    <w:rsid w:val="006C20A1"/>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613D"/>
    <w:rsid w:val="00757D5F"/>
    <w:rsid w:val="007674B8"/>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70FA7"/>
    <w:rsid w:val="0089181C"/>
    <w:rsid w:val="008A3516"/>
    <w:rsid w:val="008A4E65"/>
    <w:rsid w:val="008B0930"/>
    <w:rsid w:val="008C1956"/>
    <w:rsid w:val="008D5EF4"/>
    <w:rsid w:val="008E54CF"/>
    <w:rsid w:val="008E5BB6"/>
    <w:rsid w:val="008F4221"/>
    <w:rsid w:val="00904018"/>
    <w:rsid w:val="00912972"/>
    <w:rsid w:val="00915FF4"/>
    <w:rsid w:val="00924828"/>
    <w:rsid w:val="00933B4D"/>
    <w:rsid w:val="00936F7B"/>
    <w:rsid w:val="0093793B"/>
    <w:rsid w:val="00955923"/>
    <w:rsid w:val="00967E98"/>
    <w:rsid w:val="009717B8"/>
    <w:rsid w:val="00975C53"/>
    <w:rsid w:val="00990227"/>
    <w:rsid w:val="009B1E93"/>
    <w:rsid w:val="009B4A53"/>
    <w:rsid w:val="009B55BA"/>
    <w:rsid w:val="009C0244"/>
    <w:rsid w:val="009C39A7"/>
    <w:rsid w:val="009C55E8"/>
    <w:rsid w:val="009C63C3"/>
    <w:rsid w:val="009C75B2"/>
    <w:rsid w:val="009D0384"/>
    <w:rsid w:val="009D5B1B"/>
    <w:rsid w:val="009E2EEF"/>
    <w:rsid w:val="009E7CE7"/>
    <w:rsid w:val="009F2D95"/>
    <w:rsid w:val="009F3EDF"/>
    <w:rsid w:val="009F7FE2"/>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1E7C"/>
    <w:rsid w:val="00B74E46"/>
    <w:rsid w:val="00B85725"/>
    <w:rsid w:val="00B903F4"/>
    <w:rsid w:val="00B93271"/>
    <w:rsid w:val="00B93AE2"/>
    <w:rsid w:val="00B93CB1"/>
    <w:rsid w:val="00B96146"/>
    <w:rsid w:val="00B96409"/>
    <w:rsid w:val="00B96BED"/>
    <w:rsid w:val="00BA2710"/>
    <w:rsid w:val="00BA6247"/>
    <w:rsid w:val="00BA64F3"/>
    <w:rsid w:val="00BA791D"/>
    <w:rsid w:val="00BC0B72"/>
    <w:rsid w:val="00BD7EBA"/>
    <w:rsid w:val="00BE0AB0"/>
    <w:rsid w:val="00BE43CC"/>
    <w:rsid w:val="00C00A93"/>
    <w:rsid w:val="00C04F27"/>
    <w:rsid w:val="00C16558"/>
    <w:rsid w:val="00C17674"/>
    <w:rsid w:val="00C213A0"/>
    <w:rsid w:val="00C26F7E"/>
    <w:rsid w:val="00C34E1A"/>
    <w:rsid w:val="00C3720F"/>
    <w:rsid w:val="00C50391"/>
    <w:rsid w:val="00C52220"/>
    <w:rsid w:val="00C70C5B"/>
    <w:rsid w:val="00C80A64"/>
    <w:rsid w:val="00C82587"/>
    <w:rsid w:val="00CA1E22"/>
    <w:rsid w:val="00CA5BBE"/>
    <w:rsid w:val="00CB1DDE"/>
    <w:rsid w:val="00CB3ADB"/>
    <w:rsid w:val="00CB3CCA"/>
    <w:rsid w:val="00CB4690"/>
    <w:rsid w:val="00CC165F"/>
    <w:rsid w:val="00CC1A8B"/>
    <w:rsid w:val="00CC27E5"/>
    <w:rsid w:val="00CC6D72"/>
    <w:rsid w:val="00CE2ABB"/>
    <w:rsid w:val="00D07D7D"/>
    <w:rsid w:val="00D248BB"/>
    <w:rsid w:val="00D25DBD"/>
    <w:rsid w:val="00D308B3"/>
    <w:rsid w:val="00D47E57"/>
    <w:rsid w:val="00D5782D"/>
    <w:rsid w:val="00D63918"/>
    <w:rsid w:val="00D94D5B"/>
    <w:rsid w:val="00D95AF3"/>
    <w:rsid w:val="00DB376D"/>
    <w:rsid w:val="00DB380C"/>
    <w:rsid w:val="00DB4D62"/>
    <w:rsid w:val="00DB61C7"/>
    <w:rsid w:val="00DB7A4F"/>
    <w:rsid w:val="00DD336F"/>
    <w:rsid w:val="00DD419A"/>
    <w:rsid w:val="00DF3FD2"/>
    <w:rsid w:val="00DF4E36"/>
    <w:rsid w:val="00DF7284"/>
    <w:rsid w:val="00E10AEA"/>
    <w:rsid w:val="00E12D33"/>
    <w:rsid w:val="00E15E75"/>
    <w:rsid w:val="00E2639A"/>
    <w:rsid w:val="00E27F44"/>
    <w:rsid w:val="00E45139"/>
    <w:rsid w:val="00E476BB"/>
    <w:rsid w:val="00E51A63"/>
    <w:rsid w:val="00E60F28"/>
    <w:rsid w:val="00E7469E"/>
    <w:rsid w:val="00E768D2"/>
    <w:rsid w:val="00E776E4"/>
    <w:rsid w:val="00E81C4E"/>
    <w:rsid w:val="00E86C08"/>
    <w:rsid w:val="00E91570"/>
    <w:rsid w:val="00EA2046"/>
    <w:rsid w:val="00EA24FB"/>
    <w:rsid w:val="00EA50D0"/>
    <w:rsid w:val="00EB230D"/>
    <w:rsid w:val="00EB6CC4"/>
    <w:rsid w:val="00EC000B"/>
    <w:rsid w:val="00EC1E1E"/>
    <w:rsid w:val="00EC2DCD"/>
    <w:rsid w:val="00EC4D04"/>
    <w:rsid w:val="00ED22A1"/>
    <w:rsid w:val="00EE37CA"/>
    <w:rsid w:val="00EE5BB5"/>
    <w:rsid w:val="00EF2567"/>
    <w:rsid w:val="00F04AD7"/>
    <w:rsid w:val="00F16D17"/>
    <w:rsid w:val="00F23563"/>
    <w:rsid w:val="00F350B4"/>
    <w:rsid w:val="00F4261A"/>
    <w:rsid w:val="00F46EA7"/>
    <w:rsid w:val="00F629E7"/>
    <w:rsid w:val="00F7647B"/>
    <w:rsid w:val="00F9508F"/>
    <w:rsid w:val="00FA728E"/>
    <w:rsid w:val="00FB57EE"/>
    <w:rsid w:val="00FB654E"/>
    <w:rsid w:val="00FC682E"/>
    <w:rsid w:val="00FD138A"/>
    <w:rsid w:val="00FE506C"/>
    <w:rsid w:val="00FF158F"/>
    <w:rsid w:val="00FF22A3"/>
    <w:rsid w:val="00FF323D"/>
    <w:rsid w:val="010B044B"/>
    <w:rsid w:val="018D6B2A"/>
    <w:rsid w:val="018E0A01"/>
    <w:rsid w:val="037A476A"/>
    <w:rsid w:val="03F478E8"/>
    <w:rsid w:val="0416288B"/>
    <w:rsid w:val="04225FD9"/>
    <w:rsid w:val="04272D5A"/>
    <w:rsid w:val="044B6F6C"/>
    <w:rsid w:val="047B10D1"/>
    <w:rsid w:val="05864389"/>
    <w:rsid w:val="05A26002"/>
    <w:rsid w:val="05CC7EB0"/>
    <w:rsid w:val="05D46C82"/>
    <w:rsid w:val="05DD4740"/>
    <w:rsid w:val="061032ED"/>
    <w:rsid w:val="06622424"/>
    <w:rsid w:val="067F2A87"/>
    <w:rsid w:val="06B833C2"/>
    <w:rsid w:val="06BE3C11"/>
    <w:rsid w:val="06CB7F45"/>
    <w:rsid w:val="06DE2F2D"/>
    <w:rsid w:val="076E366A"/>
    <w:rsid w:val="07887FD8"/>
    <w:rsid w:val="079E16F2"/>
    <w:rsid w:val="0826623B"/>
    <w:rsid w:val="08383BC8"/>
    <w:rsid w:val="088015DA"/>
    <w:rsid w:val="08B93C0B"/>
    <w:rsid w:val="08D64418"/>
    <w:rsid w:val="08EE7F45"/>
    <w:rsid w:val="09642BA8"/>
    <w:rsid w:val="09A9296B"/>
    <w:rsid w:val="0A07621E"/>
    <w:rsid w:val="0A1E102C"/>
    <w:rsid w:val="0A3D6BC3"/>
    <w:rsid w:val="0B22583A"/>
    <w:rsid w:val="0B260B6B"/>
    <w:rsid w:val="0B272B9E"/>
    <w:rsid w:val="0B5C5BE2"/>
    <w:rsid w:val="0CF94474"/>
    <w:rsid w:val="0D121772"/>
    <w:rsid w:val="0D534328"/>
    <w:rsid w:val="0D721AC5"/>
    <w:rsid w:val="0D844B1B"/>
    <w:rsid w:val="0DC24A35"/>
    <w:rsid w:val="0DC828B0"/>
    <w:rsid w:val="0DE6646B"/>
    <w:rsid w:val="0E45158D"/>
    <w:rsid w:val="0E6246C5"/>
    <w:rsid w:val="0E77357E"/>
    <w:rsid w:val="0EB67CA5"/>
    <w:rsid w:val="0F4F532C"/>
    <w:rsid w:val="0F9C075F"/>
    <w:rsid w:val="101E5713"/>
    <w:rsid w:val="10F4436E"/>
    <w:rsid w:val="111016D7"/>
    <w:rsid w:val="113B38EA"/>
    <w:rsid w:val="120F33EB"/>
    <w:rsid w:val="12CD1AAE"/>
    <w:rsid w:val="12DD4D01"/>
    <w:rsid w:val="1305390A"/>
    <w:rsid w:val="130C5A9C"/>
    <w:rsid w:val="132E6708"/>
    <w:rsid w:val="147279B4"/>
    <w:rsid w:val="147C7763"/>
    <w:rsid w:val="14CF3EFA"/>
    <w:rsid w:val="14D63C9B"/>
    <w:rsid w:val="14E27315"/>
    <w:rsid w:val="16436AB7"/>
    <w:rsid w:val="171F1375"/>
    <w:rsid w:val="17682B66"/>
    <w:rsid w:val="178B2212"/>
    <w:rsid w:val="17A27CC3"/>
    <w:rsid w:val="17EB6C6C"/>
    <w:rsid w:val="182D4416"/>
    <w:rsid w:val="18AE2913"/>
    <w:rsid w:val="18F95C37"/>
    <w:rsid w:val="19582C7D"/>
    <w:rsid w:val="19C8297C"/>
    <w:rsid w:val="1A9F6386"/>
    <w:rsid w:val="1ACF569C"/>
    <w:rsid w:val="1B522ECD"/>
    <w:rsid w:val="1B6F2199"/>
    <w:rsid w:val="1BA44752"/>
    <w:rsid w:val="1BDE6EDA"/>
    <w:rsid w:val="1C546E3B"/>
    <w:rsid w:val="1C7003B0"/>
    <w:rsid w:val="1CB17D1A"/>
    <w:rsid w:val="1CEF7044"/>
    <w:rsid w:val="1D3A4CB1"/>
    <w:rsid w:val="1D486175"/>
    <w:rsid w:val="1D626B83"/>
    <w:rsid w:val="1DBC0776"/>
    <w:rsid w:val="1E811446"/>
    <w:rsid w:val="1E98667F"/>
    <w:rsid w:val="1EE83207"/>
    <w:rsid w:val="1F4B4AFF"/>
    <w:rsid w:val="20594A8F"/>
    <w:rsid w:val="205D67FC"/>
    <w:rsid w:val="20791D1A"/>
    <w:rsid w:val="212E5787"/>
    <w:rsid w:val="219A60D1"/>
    <w:rsid w:val="219F0DB6"/>
    <w:rsid w:val="23173909"/>
    <w:rsid w:val="23715996"/>
    <w:rsid w:val="23C81F12"/>
    <w:rsid w:val="23E25B7B"/>
    <w:rsid w:val="242564F4"/>
    <w:rsid w:val="245A625E"/>
    <w:rsid w:val="264F55CD"/>
    <w:rsid w:val="27D779CE"/>
    <w:rsid w:val="27F67C5E"/>
    <w:rsid w:val="28377363"/>
    <w:rsid w:val="2853654C"/>
    <w:rsid w:val="2946596D"/>
    <w:rsid w:val="297A2235"/>
    <w:rsid w:val="29946D01"/>
    <w:rsid w:val="29A51985"/>
    <w:rsid w:val="29BD29A1"/>
    <w:rsid w:val="29F31F26"/>
    <w:rsid w:val="29F4553F"/>
    <w:rsid w:val="2A8603F6"/>
    <w:rsid w:val="2A930E1D"/>
    <w:rsid w:val="2AB176C6"/>
    <w:rsid w:val="2B01172E"/>
    <w:rsid w:val="2B493073"/>
    <w:rsid w:val="2C233AF2"/>
    <w:rsid w:val="2C8E03B3"/>
    <w:rsid w:val="2CCE145A"/>
    <w:rsid w:val="2D3311C3"/>
    <w:rsid w:val="2D3B345A"/>
    <w:rsid w:val="2D715569"/>
    <w:rsid w:val="2DBB1259"/>
    <w:rsid w:val="2DF751F3"/>
    <w:rsid w:val="2E17430E"/>
    <w:rsid w:val="2E9A0A73"/>
    <w:rsid w:val="2EC636D3"/>
    <w:rsid w:val="2ECA3CF6"/>
    <w:rsid w:val="2ED75A9F"/>
    <w:rsid w:val="2F5842D0"/>
    <w:rsid w:val="2F952674"/>
    <w:rsid w:val="2FA07258"/>
    <w:rsid w:val="2FAA3FAC"/>
    <w:rsid w:val="3027789C"/>
    <w:rsid w:val="30447ABA"/>
    <w:rsid w:val="30900EE1"/>
    <w:rsid w:val="31235193"/>
    <w:rsid w:val="316B736B"/>
    <w:rsid w:val="31D7017A"/>
    <w:rsid w:val="32264009"/>
    <w:rsid w:val="328E2387"/>
    <w:rsid w:val="32900EEE"/>
    <w:rsid w:val="32C415FF"/>
    <w:rsid w:val="337416BD"/>
    <w:rsid w:val="338546C9"/>
    <w:rsid w:val="33D45A35"/>
    <w:rsid w:val="33FC63CB"/>
    <w:rsid w:val="34CA7EFE"/>
    <w:rsid w:val="3557309B"/>
    <w:rsid w:val="35851543"/>
    <w:rsid w:val="35BD418B"/>
    <w:rsid w:val="35ED1591"/>
    <w:rsid w:val="35F8221C"/>
    <w:rsid w:val="372F4074"/>
    <w:rsid w:val="37354E59"/>
    <w:rsid w:val="375743B3"/>
    <w:rsid w:val="37643FB0"/>
    <w:rsid w:val="381F44D4"/>
    <w:rsid w:val="38A62E9B"/>
    <w:rsid w:val="38BE4A4E"/>
    <w:rsid w:val="38C70AF2"/>
    <w:rsid w:val="38E7426F"/>
    <w:rsid w:val="396633B7"/>
    <w:rsid w:val="39C75184"/>
    <w:rsid w:val="39C94720"/>
    <w:rsid w:val="39D85218"/>
    <w:rsid w:val="3A2420A7"/>
    <w:rsid w:val="3A365C91"/>
    <w:rsid w:val="3AB56861"/>
    <w:rsid w:val="3ABB2C13"/>
    <w:rsid w:val="3ADE1E00"/>
    <w:rsid w:val="3B0D340B"/>
    <w:rsid w:val="3B107887"/>
    <w:rsid w:val="3B2F1F35"/>
    <w:rsid w:val="3C720E5A"/>
    <w:rsid w:val="3C740CD4"/>
    <w:rsid w:val="3CBA76A3"/>
    <w:rsid w:val="3D2818DE"/>
    <w:rsid w:val="3E0D7D19"/>
    <w:rsid w:val="3EEB5B0D"/>
    <w:rsid w:val="3F372DD9"/>
    <w:rsid w:val="3F66374E"/>
    <w:rsid w:val="3F9E4E03"/>
    <w:rsid w:val="3FA90786"/>
    <w:rsid w:val="40EA6D09"/>
    <w:rsid w:val="417819DC"/>
    <w:rsid w:val="41952FDC"/>
    <w:rsid w:val="420C434B"/>
    <w:rsid w:val="42CB4108"/>
    <w:rsid w:val="435F43FF"/>
    <w:rsid w:val="43642362"/>
    <w:rsid w:val="436474B6"/>
    <w:rsid w:val="443E7C1A"/>
    <w:rsid w:val="44BC10E3"/>
    <w:rsid w:val="45F13218"/>
    <w:rsid w:val="47933998"/>
    <w:rsid w:val="47CE2384"/>
    <w:rsid w:val="4804398B"/>
    <w:rsid w:val="48393FBD"/>
    <w:rsid w:val="485F0FC3"/>
    <w:rsid w:val="49635308"/>
    <w:rsid w:val="497A3C70"/>
    <w:rsid w:val="49AB6CC1"/>
    <w:rsid w:val="4A085EE2"/>
    <w:rsid w:val="4A0C76CE"/>
    <w:rsid w:val="4A746203"/>
    <w:rsid w:val="4A8B6B71"/>
    <w:rsid w:val="4B57777D"/>
    <w:rsid w:val="4B5F2D00"/>
    <w:rsid w:val="4B850F28"/>
    <w:rsid w:val="4B934B20"/>
    <w:rsid w:val="4B98254E"/>
    <w:rsid w:val="4BD32D3D"/>
    <w:rsid w:val="4C1D1A3A"/>
    <w:rsid w:val="4C4A3EC5"/>
    <w:rsid w:val="4CC53261"/>
    <w:rsid w:val="4D7419E2"/>
    <w:rsid w:val="4DFE7B37"/>
    <w:rsid w:val="4E4D7193"/>
    <w:rsid w:val="4EFB08F8"/>
    <w:rsid w:val="4F064EBC"/>
    <w:rsid w:val="4F834D4C"/>
    <w:rsid w:val="50892EF0"/>
    <w:rsid w:val="50AD2007"/>
    <w:rsid w:val="513E44BC"/>
    <w:rsid w:val="51650B38"/>
    <w:rsid w:val="5166645B"/>
    <w:rsid w:val="51957E7F"/>
    <w:rsid w:val="51EA21B2"/>
    <w:rsid w:val="51FD08FC"/>
    <w:rsid w:val="52A458BD"/>
    <w:rsid w:val="537432CF"/>
    <w:rsid w:val="53B92FA8"/>
    <w:rsid w:val="53C44297"/>
    <w:rsid w:val="53FE3A19"/>
    <w:rsid w:val="54533186"/>
    <w:rsid w:val="54D753E7"/>
    <w:rsid w:val="55D90A26"/>
    <w:rsid w:val="5663553D"/>
    <w:rsid w:val="566B3436"/>
    <w:rsid w:val="56AE6FE8"/>
    <w:rsid w:val="56AE724E"/>
    <w:rsid w:val="57793128"/>
    <w:rsid w:val="5798543B"/>
    <w:rsid w:val="579F706F"/>
    <w:rsid w:val="57A73C1D"/>
    <w:rsid w:val="57AF355E"/>
    <w:rsid w:val="57CD5D50"/>
    <w:rsid w:val="590F7B51"/>
    <w:rsid w:val="595C5487"/>
    <w:rsid w:val="59D461C5"/>
    <w:rsid w:val="5A113762"/>
    <w:rsid w:val="5A3570F8"/>
    <w:rsid w:val="5AA76D1B"/>
    <w:rsid w:val="5AB1727C"/>
    <w:rsid w:val="5AC727C5"/>
    <w:rsid w:val="5ACC3921"/>
    <w:rsid w:val="5B065D59"/>
    <w:rsid w:val="5B297F70"/>
    <w:rsid w:val="5B7B4E1D"/>
    <w:rsid w:val="5BAD11D6"/>
    <w:rsid w:val="5C307558"/>
    <w:rsid w:val="5CC3453B"/>
    <w:rsid w:val="5D0B5C2E"/>
    <w:rsid w:val="5D4234DC"/>
    <w:rsid w:val="5DA12BFF"/>
    <w:rsid w:val="5DCA16D5"/>
    <w:rsid w:val="5EBE1AC9"/>
    <w:rsid w:val="5FD52AF2"/>
    <w:rsid w:val="608C4D16"/>
    <w:rsid w:val="614D667A"/>
    <w:rsid w:val="61517CC7"/>
    <w:rsid w:val="615C265D"/>
    <w:rsid w:val="617D5476"/>
    <w:rsid w:val="618D272B"/>
    <w:rsid w:val="620C71CE"/>
    <w:rsid w:val="626E1304"/>
    <w:rsid w:val="628751A4"/>
    <w:rsid w:val="62E17AE3"/>
    <w:rsid w:val="62F05811"/>
    <w:rsid w:val="6361365A"/>
    <w:rsid w:val="63F16941"/>
    <w:rsid w:val="63FA3D19"/>
    <w:rsid w:val="64214D60"/>
    <w:rsid w:val="64244DAC"/>
    <w:rsid w:val="64732ABF"/>
    <w:rsid w:val="64A757CC"/>
    <w:rsid w:val="64BE76B9"/>
    <w:rsid w:val="650F3F1B"/>
    <w:rsid w:val="660849B9"/>
    <w:rsid w:val="660A5954"/>
    <w:rsid w:val="664A69DF"/>
    <w:rsid w:val="66BD7D11"/>
    <w:rsid w:val="67A527A0"/>
    <w:rsid w:val="67FF21E9"/>
    <w:rsid w:val="68431D49"/>
    <w:rsid w:val="692C2BD0"/>
    <w:rsid w:val="69496F6A"/>
    <w:rsid w:val="697D5CD4"/>
    <w:rsid w:val="698B2F6B"/>
    <w:rsid w:val="699666A4"/>
    <w:rsid w:val="69B52DDF"/>
    <w:rsid w:val="69C314C6"/>
    <w:rsid w:val="6A176572"/>
    <w:rsid w:val="6A1D7F52"/>
    <w:rsid w:val="6A560BF3"/>
    <w:rsid w:val="6AC456D9"/>
    <w:rsid w:val="6B265D12"/>
    <w:rsid w:val="6B2D57C4"/>
    <w:rsid w:val="6B9A38D6"/>
    <w:rsid w:val="6BA63446"/>
    <w:rsid w:val="6C832997"/>
    <w:rsid w:val="6C845B25"/>
    <w:rsid w:val="6CB20C5B"/>
    <w:rsid w:val="6CDF066E"/>
    <w:rsid w:val="6E2872F9"/>
    <w:rsid w:val="6E69755C"/>
    <w:rsid w:val="6E7F6C67"/>
    <w:rsid w:val="6ECF5682"/>
    <w:rsid w:val="6ED338DF"/>
    <w:rsid w:val="6FB50F8F"/>
    <w:rsid w:val="6FBB10C2"/>
    <w:rsid w:val="7025142D"/>
    <w:rsid w:val="70281177"/>
    <w:rsid w:val="703721F2"/>
    <w:rsid w:val="70412077"/>
    <w:rsid w:val="71241573"/>
    <w:rsid w:val="71733DF5"/>
    <w:rsid w:val="71DF0583"/>
    <w:rsid w:val="721C29AD"/>
    <w:rsid w:val="72214C71"/>
    <w:rsid w:val="722E4B93"/>
    <w:rsid w:val="72495B34"/>
    <w:rsid w:val="73503BBA"/>
    <w:rsid w:val="73A017A5"/>
    <w:rsid w:val="742821AE"/>
    <w:rsid w:val="74EC04EE"/>
    <w:rsid w:val="75014904"/>
    <w:rsid w:val="75271C1F"/>
    <w:rsid w:val="75C16B30"/>
    <w:rsid w:val="75C64910"/>
    <w:rsid w:val="75D148A0"/>
    <w:rsid w:val="761E2DD4"/>
    <w:rsid w:val="76885DD2"/>
    <w:rsid w:val="769747B0"/>
    <w:rsid w:val="76D5623D"/>
    <w:rsid w:val="777E6030"/>
    <w:rsid w:val="779B7915"/>
    <w:rsid w:val="77A12A4D"/>
    <w:rsid w:val="77F821FA"/>
    <w:rsid w:val="78016314"/>
    <w:rsid w:val="787076C4"/>
    <w:rsid w:val="78944CAE"/>
    <w:rsid w:val="79DA098D"/>
    <w:rsid w:val="7AC21F13"/>
    <w:rsid w:val="7AEF258C"/>
    <w:rsid w:val="7AFD4FEE"/>
    <w:rsid w:val="7B0809A0"/>
    <w:rsid w:val="7B867960"/>
    <w:rsid w:val="7C714CEC"/>
    <w:rsid w:val="7C8721EC"/>
    <w:rsid w:val="7D863135"/>
    <w:rsid w:val="7DAE0451"/>
    <w:rsid w:val="7DB829F2"/>
    <w:rsid w:val="7DFA4E9D"/>
    <w:rsid w:val="7E435FB0"/>
    <w:rsid w:val="7E69363D"/>
    <w:rsid w:val="7EC211A6"/>
    <w:rsid w:val="7F4B2C12"/>
    <w:rsid w:val="7F624A68"/>
    <w:rsid w:val="7FF36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89"/>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4"/>
    <w:link w:val="158"/>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4"/>
    <w:link w:val="202"/>
    <w:qFormat/>
    <w:uiPriority w:val="0"/>
    <w:pPr>
      <w:keepNext/>
      <w:keepLines/>
      <w:shd w:val="clear" w:color="auto" w:fill="FFFFFF"/>
      <w:tabs>
        <w:tab w:val="left" w:pos="2730"/>
      </w:tabs>
      <w:wordWrap w:val="0"/>
      <w:spacing w:line="360" w:lineRule="exact"/>
      <w:jc w:val="center"/>
      <w:outlineLvl w:val="2"/>
    </w:pPr>
    <w:rPr>
      <w:rFonts w:ascii="宋体" w:hAnsi="宋体"/>
      <w:b/>
      <w:sz w:val="28"/>
      <w:shd w:val="clear" w:color="auto" w:fill="FFFFFF"/>
    </w:rPr>
  </w:style>
  <w:style w:type="paragraph" w:styleId="6">
    <w:name w:val="heading 4"/>
    <w:basedOn w:val="1"/>
    <w:next w:val="4"/>
    <w:link w:val="87"/>
    <w:qFormat/>
    <w:uiPriority w:val="0"/>
    <w:pPr>
      <w:keepNext/>
      <w:keepLines/>
      <w:spacing w:before="120" w:after="120"/>
      <w:outlineLvl w:val="3"/>
    </w:pPr>
    <w:rPr>
      <w:rFonts w:ascii="Arial" w:hAnsi="Arial" w:eastAsia="黑体"/>
      <w:b/>
      <w:sz w:val="20"/>
    </w:rPr>
  </w:style>
  <w:style w:type="paragraph" w:styleId="7">
    <w:name w:val="heading 5"/>
    <w:basedOn w:val="1"/>
    <w:next w:val="4"/>
    <w:link w:val="77"/>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8">
    <w:name w:val="heading 6"/>
    <w:basedOn w:val="1"/>
    <w:next w:val="1"/>
    <w:link w:val="121"/>
    <w:qFormat/>
    <w:uiPriority w:val="0"/>
    <w:pPr>
      <w:keepNext/>
      <w:keepLines/>
      <w:spacing w:before="240" w:after="64" w:line="319" w:lineRule="auto"/>
      <w:outlineLvl w:val="5"/>
    </w:pPr>
    <w:rPr>
      <w:rFonts w:ascii="Arial" w:hAnsi="Arial" w:eastAsia="黑体"/>
      <w:b/>
      <w:bCs/>
      <w:sz w:val="24"/>
      <w:szCs w:val="24"/>
    </w:rPr>
  </w:style>
  <w:style w:type="paragraph" w:styleId="9">
    <w:name w:val="heading 7"/>
    <w:basedOn w:val="1"/>
    <w:next w:val="1"/>
    <w:link w:val="136"/>
    <w:qFormat/>
    <w:uiPriority w:val="0"/>
    <w:pPr>
      <w:keepNext/>
      <w:keepLines/>
      <w:spacing w:before="240" w:after="64" w:line="319" w:lineRule="auto"/>
      <w:outlineLvl w:val="6"/>
    </w:pPr>
    <w:rPr>
      <w:b/>
      <w:bCs/>
      <w:sz w:val="24"/>
      <w:szCs w:val="24"/>
    </w:rPr>
  </w:style>
  <w:style w:type="paragraph" w:styleId="10">
    <w:name w:val="heading 8"/>
    <w:basedOn w:val="1"/>
    <w:next w:val="1"/>
    <w:link w:val="150"/>
    <w:qFormat/>
    <w:uiPriority w:val="0"/>
    <w:pPr>
      <w:keepNext/>
      <w:keepLines/>
      <w:spacing w:before="240" w:after="64" w:line="319" w:lineRule="auto"/>
      <w:outlineLvl w:val="7"/>
    </w:pPr>
    <w:rPr>
      <w:rFonts w:ascii="Arial" w:hAnsi="Arial" w:eastAsia="黑体"/>
      <w:sz w:val="24"/>
      <w:szCs w:val="24"/>
    </w:rPr>
  </w:style>
  <w:style w:type="paragraph" w:styleId="11">
    <w:name w:val="heading 9"/>
    <w:basedOn w:val="1"/>
    <w:next w:val="1"/>
    <w:link w:val="156"/>
    <w:qFormat/>
    <w:uiPriority w:val="0"/>
    <w:pPr>
      <w:keepNext/>
      <w:keepLines/>
      <w:spacing w:before="240" w:after="64" w:line="319"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style>
  <w:style w:type="paragraph" w:styleId="12">
    <w:name w:val="List 3"/>
    <w:basedOn w:val="1"/>
    <w:qFormat/>
    <w:uiPriority w:val="0"/>
    <w:pPr>
      <w:ind w:left="1260" w:hanging="420"/>
    </w:pPr>
  </w:style>
  <w:style w:type="paragraph" w:styleId="13">
    <w:name w:val="toc 7"/>
    <w:basedOn w:val="1"/>
    <w:next w:val="1"/>
    <w:qFormat/>
    <w:uiPriority w:val="0"/>
    <w:pPr>
      <w:ind w:left="1260"/>
      <w:jc w:val="left"/>
    </w:pPr>
    <w:rPr>
      <w:sz w:val="18"/>
    </w:rPr>
  </w:style>
  <w:style w:type="paragraph" w:styleId="14">
    <w:name w:val="List Number 2"/>
    <w:basedOn w:val="1"/>
    <w:qFormat/>
    <w:uiPriority w:val="0"/>
    <w:pPr>
      <w:tabs>
        <w:tab w:val="left" w:pos="1440"/>
      </w:tabs>
      <w:spacing w:line="360" w:lineRule="auto"/>
      <w:ind w:left="1440" w:hanging="1440"/>
    </w:pPr>
    <w:rPr>
      <w:sz w:val="24"/>
      <w:szCs w:val="24"/>
    </w:rPr>
  </w:style>
  <w:style w:type="paragraph" w:styleId="15">
    <w:name w:val="index 8"/>
    <w:basedOn w:val="1"/>
    <w:next w:val="1"/>
    <w:qFormat/>
    <w:uiPriority w:val="0"/>
    <w:pPr>
      <w:ind w:left="2940"/>
    </w:pPr>
  </w:style>
  <w:style w:type="paragraph" w:styleId="16">
    <w:name w:val="List Number"/>
    <w:basedOn w:val="1"/>
    <w:qFormat/>
    <w:uiPriority w:val="0"/>
    <w:pPr>
      <w:tabs>
        <w:tab w:val="left" w:pos="2952"/>
      </w:tabs>
      <w:ind w:left="2952" w:hanging="432"/>
    </w:pPr>
    <w:rPr>
      <w:szCs w:val="24"/>
    </w:rPr>
  </w:style>
  <w:style w:type="paragraph" w:styleId="17">
    <w:name w:val="index 5"/>
    <w:basedOn w:val="1"/>
    <w:next w:val="1"/>
    <w:qFormat/>
    <w:uiPriority w:val="0"/>
    <w:pPr>
      <w:ind w:left="1680"/>
    </w:pPr>
  </w:style>
  <w:style w:type="paragraph" w:styleId="18">
    <w:name w:val="Document Map"/>
    <w:basedOn w:val="1"/>
    <w:link w:val="195"/>
    <w:qFormat/>
    <w:uiPriority w:val="0"/>
    <w:pPr>
      <w:shd w:val="clear" w:color="auto" w:fill="000080"/>
    </w:pPr>
    <w:rPr>
      <w:rFonts w:ascii="宋体"/>
      <w:sz w:val="18"/>
      <w:szCs w:val="18"/>
    </w:rPr>
  </w:style>
  <w:style w:type="paragraph" w:styleId="19">
    <w:name w:val="annotation text"/>
    <w:basedOn w:val="1"/>
    <w:link w:val="127"/>
    <w:qFormat/>
    <w:uiPriority w:val="99"/>
    <w:pPr>
      <w:jc w:val="left"/>
    </w:pPr>
    <w:rPr>
      <w:sz w:val="20"/>
    </w:rPr>
  </w:style>
  <w:style w:type="paragraph" w:styleId="20">
    <w:name w:val="index 6"/>
    <w:basedOn w:val="1"/>
    <w:next w:val="1"/>
    <w:qFormat/>
    <w:uiPriority w:val="0"/>
    <w:pPr>
      <w:ind w:left="2100"/>
    </w:pPr>
  </w:style>
  <w:style w:type="paragraph" w:styleId="21">
    <w:name w:val="Salutation"/>
    <w:basedOn w:val="1"/>
    <w:next w:val="1"/>
    <w:link w:val="191"/>
    <w:qFormat/>
    <w:uiPriority w:val="0"/>
    <w:rPr>
      <w:rFonts w:ascii="仿宋_GB2312" w:eastAsia="仿宋_GB2312"/>
      <w:sz w:val="20"/>
    </w:rPr>
  </w:style>
  <w:style w:type="paragraph" w:styleId="22">
    <w:name w:val="Body Text 3"/>
    <w:basedOn w:val="1"/>
    <w:link w:val="88"/>
    <w:qFormat/>
    <w:uiPriority w:val="0"/>
    <w:rPr>
      <w:rFonts w:ascii="仿宋_GB2312" w:hAnsi="Arial" w:eastAsia="仿宋_GB2312"/>
      <w:sz w:val="20"/>
    </w:rPr>
  </w:style>
  <w:style w:type="paragraph" w:styleId="23">
    <w:name w:val="Body Text"/>
    <w:basedOn w:val="1"/>
    <w:link w:val="75"/>
    <w:qFormat/>
    <w:uiPriority w:val="0"/>
    <w:rPr>
      <w:rFonts w:ascii="楷体_GB2312" w:hAnsi="Arial" w:eastAsia="楷体_GB2312"/>
      <w:sz w:val="20"/>
    </w:rPr>
  </w:style>
  <w:style w:type="paragraph" w:styleId="24">
    <w:name w:val="Body Text Indent"/>
    <w:basedOn w:val="1"/>
    <w:next w:val="25"/>
    <w:link w:val="168"/>
    <w:qFormat/>
    <w:uiPriority w:val="0"/>
    <w:pPr>
      <w:ind w:firstLine="645"/>
    </w:pPr>
    <w:rPr>
      <w:sz w:val="20"/>
    </w:rPr>
  </w:style>
  <w:style w:type="paragraph" w:styleId="25">
    <w:name w:val="envelope return"/>
    <w:basedOn w:val="1"/>
    <w:unhideWhenUsed/>
    <w:qFormat/>
    <w:uiPriority w:val="99"/>
    <w:pPr>
      <w:snapToGrid w:val="0"/>
    </w:pPr>
    <w:rPr>
      <w:rFonts w:ascii="Arial" w:hAnsi="Arial"/>
    </w:rPr>
  </w:style>
  <w:style w:type="paragraph" w:styleId="26">
    <w:name w:val="index 4"/>
    <w:basedOn w:val="1"/>
    <w:next w:val="1"/>
    <w:qFormat/>
    <w:uiPriority w:val="0"/>
    <w:pPr>
      <w:ind w:left="1260"/>
    </w:pPr>
  </w:style>
  <w:style w:type="paragraph" w:styleId="27">
    <w:name w:val="toc 5"/>
    <w:basedOn w:val="1"/>
    <w:next w:val="1"/>
    <w:qFormat/>
    <w:uiPriority w:val="0"/>
    <w:pPr>
      <w:ind w:left="840"/>
      <w:jc w:val="left"/>
    </w:pPr>
    <w:rPr>
      <w:sz w:val="18"/>
    </w:rPr>
  </w:style>
  <w:style w:type="paragraph" w:styleId="28">
    <w:name w:val="toc 3"/>
    <w:basedOn w:val="1"/>
    <w:next w:val="1"/>
    <w:qFormat/>
    <w:uiPriority w:val="39"/>
    <w:pPr>
      <w:spacing w:before="120" w:after="120" w:line="360" w:lineRule="exact"/>
      <w:ind w:left="420"/>
      <w:jc w:val="left"/>
    </w:pPr>
    <w:rPr>
      <w:sz w:val="23"/>
    </w:rPr>
  </w:style>
  <w:style w:type="paragraph" w:styleId="29">
    <w:name w:val="Plain Text"/>
    <w:basedOn w:val="1"/>
    <w:link w:val="120"/>
    <w:qFormat/>
    <w:uiPriority w:val="99"/>
    <w:rPr>
      <w:rFonts w:ascii="宋体" w:hAnsi="Courier New" w:cs="Courier New"/>
      <w:szCs w:val="21"/>
    </w:rPr>
  </w:style>
  <w:style w:type="paragraph" w:styleId="30">
    <w:name w:val="toc 8"/>
    <w:basedOn w:val="1"/>
    <w:next w:val="1"/>
    <w:qFormat/>
    <w:uiPriority w:val="0"/>
    <w:pPr>
      <w:ind w:left="1470"/>
      <w:jc w:val="left"/>
    </w:pPr>
    <w:rPr>
      <w:sz w:val="18"/>
    </w:rPr>
  </w:style>
  <w:style w:type="paragraph" w:styleId="31">
    <w:name w:val="index 3"/>
    <w:basedOn w:val="1"/>
    <w:next w:val="1"/>
    <w:qFormat/>
    <w:uiPriority w:val="0"/>
    <w:pPr>
      <w:ind w:left="840"/>
    </w:pPr>
  </w:style>
  <w:style w:type="paragraph" w:styleId="32">
    <w:name w:val="Date"/>
    <w:basedOn w:val="1"/>
    <w:next w:val="1"/>
    <w:link w:val="139"/>
    <w:qFormat/>
    <w:uiPriority w:val="0"/>
    <w:pPr>
      <w:ind w:left="100" w:leftChars="2500"/>
    </w:pPr>
    <w:rPr>
      <w:sz w:val="20"/>
    </w:rPr>
  </w:style>
  <w:style w:type="paragraph" w:styleId="33">
    <w:name w:val="Body Text Indent 2"/>
    <w:basedOn w:val="1"/>
    <w:link w:val="162"/>
    <w:qFormat/>
    <w:uiPriority w:val="0"/>
    <w:pPr>
      <w:ind w:left="630" w:firstLine="645"/>
    </w:pPr>
    <w:rPr>
      <w:sz w:val="20"/>
    </w:rPr>
  </w:style>
  <w:style w:type="paragraph" w:styleId="34">
    <w:name w:val="endnote text"/>
    <w:basedOn w:val="1"/>
    <w:link w:val="205"/>
    <w:qFormat/>
    <w:uiPriority w:val="0"/>
    <w:pPr>
      <w:snapToGrid w:val="0"/>
      <w:jc w:val="left"/>
    </w:pPr>
    <w:rPr>
      <w:kern w:val="0"/>
      <w:sz w:val="24"/>
      <w:szCs w:val="24"/>
    </w:rPr>
  </w:style>
  <w:style w:type="paragraph" w:styleId="35">
    <w:name w:val="Balloon Text"/>
    <w:basedOn w:val="1"/>
    <w:link w:val="204"/>
    <w:qFormat/>
    <w:uiPriority w:val="0"/>
    <w:rPr>
      <w:sz w:val="18"/>
      <w:szCs w:val="18"/>
    </w:rPr>
  </w:style>
  <w:style w:type="paragraph" w:styleId="36">
    <w:name w:val="footer"/>
    <w:basedOn w:val="1"/>
    <w:link w:val="197"/>
    <w:qFormat/>
    <w:uiPriority w:val="0"/>
    <w:pPr>
      <w:tabs>
        <w:tab w:val="center" w:pos="4153"/>
        <w:tab w:val="right" w:pos="8306"/>
      </w:tabs>
      <w:snapToGrid w:val="0"/>
      <w:jc w:val="left"/>
    </w:pPr>
    <w:rPr>
      <w:sz w:val="18"/>
      <w:szCs w:val="18"/>
    </w:rPr>
  </w:style>
  <w:style w:type="paragraph" w:styleId="37">
    <w:name w:val="header"/>
    <w:basedOn w:val="1"/>
    <w:link w:val="133"/>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130"/>
    <w:qFormat/>
    <w:uiPriority w:val="0"/>
    <w:pPr>
      <w:adjustRightInd w:val="0"/>
      <w:spacing w:after="600" w:line="312" w:lineRule="atLeast"/>
      <w:jc w:val="center"/>
      <w:textAlignment w:val="baseline"/>
    </w:pPr>
    <w:rPr>
      <w:rFonts w:eastAsia="仿宋_GB2312"/>
      <w:kern w:val="0"/>
      <w:sz w:val="20"/>
    </w:rPr>
  </w:style>
  <w:style w:type="paragraph" w:styleId="39">
    <w:name w:val="toc 1"/>
    <w:basedOn w:val="1"/>
    <w:next w:val="1"/>
    <w:qFormat/>
    <w:uiPriority w:val="39"/>
    <w:pPr>
      <w:spacing w:before="240" w:after="240"/>
      <w:jc w:val="left"/>
    </w:pPr>
    <w:rPr>
      <w:caps/>
      <w:sz w:val="24"/>
    </w:rPr>
  </w:style>
  <w:style w:type="paragraph" w:styleId="40">
    <w:name w:val="toc 4"/>
    <w:basedOn w:val="1"/>
    <w:next w:val="1"/>
    <w:qFormat/>
    <w:uiPriority w:val="0"/>
    <w:pPr>
      <w:ind w:left="630"/>
      <w:jc w:val="left"/>
    </w:pPr>
    <w:rPr>
      <w:sz w:val="18"/>
    </w:rPr>
  </w:style>
  <w:style w:type="paragraph" w:styleId="41">
    <w:name w:val="index heading"/>
    <w:basedOn w:val="1"/>
    <w:next w:val="42"/>
    <w:qFormat/>
    <w:uiPriority w:val="0"/>
  </w:style>
  <w:style w:type="paragraph" w:styleId="42">
    <w:name w:val="index 1"/>
    <w:basedOn w:val="1"/>
    <w:next w:val="1"/>
    <w:qFormat/>
    <w:uiPriority w:val="0"/>
    <w:rPr>
      <w:rFonts w:ascii="仿宋_GB2312" w:hAnsi="宋体" w:eastAsia="仿宋_GB2312"/>
      <w:sz w:val="30"/>
      <w:szCs w:val="24"/>
    </w:rPr>
  </w:style>
  <w:style w:type="paragraph" w:styleId="43">
    <w:name w:val="Subtitle"/>
    <w:basedOn w:val="1"/>
    <w:next w:val="1"/>
    <w:link w:val="79"/>
    <w:qFormat/>
    <w:uiPriority w:val="0"/>
    <w:pPr>
      <w:widowControl/>
      <w:spacing w:after="600" w:line="276" w:lineRule="auto"/>
      <w:jc w:val="left"/>
    </w:pPr>
    <w:rPr>
      <w:rFonts w:ascii="Cambria" w:hAnsi="Cambria"/>
      <w:i/>
      <w:iCs/>
      <w:spacing w:val="13"/>
      <w:kern w:val="0"/>
      <w:sz w:val="24"/>
      <w:szCs w:val="24"/>
      <w:lang w:eastAsia="en-US"/>
    </w:rPr>
  </w:style>
  <w:style w:type="paragraph" w:styleId="44">
    <w:name w:val="footnote text"/>
    <w:basedOn w:val="1"/>
    <w:link w:val="132"/>
    <w:qFormat/>
    <w:uiPriority w:val="0"/>
    <w:pPr>
      <w:snapToGrid w:val="0"/>
      <w:jc w:val="left"/>
    </w:pPr>
    <w:rPr>
      <w:sz w:val="18"/>
      <w:szCs w:val="18"/>
    </w:rPr>
  </w:style>
  <w:style w:type="paragraph" w:styleId="45">
    <w:name w:val="toc 6"/>
    <w:basedOn w:val="1"/>
    <w:next w:val="1"/>
    <w:qFormat/>
    <w:uiPriority w:val="0"/>
    <w:pPr>
      <w:ind w:left="1050"/>
      <w:jc w:val="left"/>
    </w:pPr>
    <w:rPr>
      <w:sz w:val="18"/>
    </w:rPr>
  </w:style>
  <w:style w:type="paragraph" w:styleId="46">
    <w:name w:val="Body Text Indent 3"/>
    <w:basedOn w:val="1"/>
    <w:link w:val="112"/>
    <w:qFormat/>
    <w:uiPriority w:val="0"/>
    <w:pPr>
      <w:ind w:left="645" w:firstLine="645"/>
    </w:pPr>
    <w:rPr>
      <w:sz w:val="16"/>
      <w:szCs w:val="16"/>
    </w:rPr>
  </w:style>
  <w:style w:type="paragraph" w:styleId="47">
    <w:name w:val="index 7"/>
    <w:basedOn w:val="1"/>
    <w:next w:val="1"/>
    <w:qFormat/>
    <w:uiPriority w:val="0"/>
    <w:pPr>
      <w:ind w:left="2520"/>
    </w:pPr>
  </w:style>
  <w:style w:type="paragraph" w:styleId="48">
    <w:name w:val="index 9"/>
    <w:basedOn w:val="1"/>
    <w:next w:val="1"/>
    <w:qFormat/>
    <w:uiPriority w:val="0"/>
    <w:pPr>
      <w:ind w:left="3360"/>
    </w:pPr>
  </w:style>
  <w:style w:type="paragraph" w:styleId="49">
    <w:name w:val="table of figures"/>
    <w:basedOn w:val="1"/>
    <w:next w:val="1"/>
    <w:qFormat/>
    <w:uiPriority w:val="0"/>
    <w:pPr>
      <w:ind w:left="840" w:hanging="420"/>
    </w:pPr>
  </w:style>
  <w:style w:type="paragraph" w:styleId="50">
    <w:name w:val="toc 2"/>
    <w:basedOn w:val="1"/>
    <w:next w:val="1"/>
    <w:qFormat/>
    <w:uiPriority w:val="0"/>
    <w:pPr>
      <w:ind w:left="210"/>
      <w:jc w:val="left"/>
    </w:pPr>
    <w:rPr>
      <w:smallCaps/>
      <w:sz w:val="20"/>
    </w:rPr>
  </w:style>
  <w:style w:type="paragraph" w:styleId="51">
    <w:name w:val="toc 9"/>
    <w:basedOn w:val="1"/>
    <w:next w:val="1"/>
    <w:qFormat/>
    <w:uiPriority w:val="0"/>
    <w:pPr>
      <w:ind w:left="1680"/>
      <w:jc w:val="left"/>
    </w:pPr>
    <w:rPr>
      <w:sz w:val="18"/>
    </w:rPr>
  </w:style>
  <w:style w:type="paragraph" w:styleId="52">
    <w:name w:val="Body Text 2"/>
    <w:basedOn w:val="1"/>
    <w:link w:val="172"/>
    <w:qFormat/>
    <w:uiPriority w:val="0"/>
    <w:pPr>
      <w:widowControl/>
      <w:jc w:val="center"/>
    </w:pPr>
    <w:rPr>
      <w:rFonts w:ascii="楷体_GB2312" w:eastAsia="楷体_GB2312"/>
      <w:sz w:val="20"/>
    </w:rPr>
  </w:style>
  <w:style w:type="paragraph" w:styleId="53">
    <w:name w:val="HTML Preformatted"/>
    <w:basedOn w:val="1"/>
    <w:link w:val="16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4">
    <w:name w:val="Normal (Web)"/>
    <w:basedOn w:val="1"/>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5">
    <w:name w:val="index 2"/>
    <w:basedOn w:val="1"/>
    <w:next w:val="1"/>
    <w:qFormat/>
    <w:uiPriority w:val="0"/>
    <w:pPr>
      <w:ind w:left="420"/>
    </w:pPr>
  </w:style>
  <w:style w:type="paragraph" w:styleId="56">
    <w:name w:val="Title"/>
    <w:basedOn w:val="1"/>
    <w:link w:val="169"/>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7">
    <w:name w:val="annotation subject"/>
    <w:basedOn w:val="19"/>
    <w:next w:val="19"/>
    <w:link w:val="143"/>
    <w:qFormat/>
    <w:uiPriority w:val="0"/>
    <w:rPr>
      <w:b/>
      <w:bCs/>
    </w:rPr>
  </w:style>
  <w:style w:type="paragraph" w:styleId="58">
    <w:name w:val="Body Text First Indent"/>
    <w:basedOn w:val="23"/>
    <w:link w:val="104"/>
    <w:qFormat/>
    <w:uiPriority w:val="0"/>
    <w:pPr>
      <w:spacing w:after="120"/>
      <w:ind w:firstLine="420" w:firstLineChars="100"/>
    </w:pPr>
    <w:rPr>
      <w:rFonts w:ascii="Times New Roman" w:hAnsi="Times New Roman" w:eastAsia="宋体"/>
      <w:sz w:val="24"/>
      <w:szCs w:val="24"/>
    </w:rPr>
  </w:style>
  <w:style w:type="paragraph" w:styleId="59">
    <w:name w:val="Body Text First Indent 2"/>
    <w:basedOn w:val="24"/>
    <w:qFormat/>
    <w:uiPriority w:val="0"/>
    <w:pPr>
      <w:ind w:firstLine="420" w:firstLineChars="200"/>
    </w:pPr>
  </w:style>
  <w:style w:type="table" w:styleId="61">
    <w:name w:val="Table Grid"/>
    <w:basedOn w:val="6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basedOn w:val="62"/>
    <w:qFormat/>
    <w:uiPriority w:val="0"/>
    <w:rPr>
      <w:b/>
    </w:rPr>
  </w:style>
  <w:style w:type="character" w:styleId="64">
    <w:name w:val="endnote reference"/>
    <w:basedOn w:val="62"/>
    <w:qFormat/>
    <w:uiPriority w:val="0"/>
    <w:rPr>
      <w:vertAlign w:val="superscript"/>
    </w:rPr>
  </w:style>
  <w:style w:type="character" w:styleId="65">
    <w:name w:val="page number"/>
    <w:basedOn w:val="62"/>
    <w:qFormat/>
    <w:uiPriority w:val="0"/>
    <w:rPr>
      <w:rFonts w:cs="Times New Roman"/>
    </w:rPr>
  </w:style>
  <w:style w:type="character" w:styleId="66">
    <w:name w:val="FollowedHyperlink"/>
    <w:basedOn w:val="62"/>
    <w:qFormat/>
    <w:uiPriority w:val="0"/>
    <w:rPr>
      <w:color w:val="800080"/>
      <w:u w:val="single"/>
    </w:rPr>
  </w:style>
  <w:style w:type="character" w:styleId="67">
    <w:name w:val="Emphasis"/>
    <w:basedOn w:val="62"/>
    <w:qFormat/>
    <w:uiPriority w:val="0"/>
    <w:rPr>
      <w:b/>
      <w:i/>
      <w:spacing w:val="10"/>
      <w:shd w:val="clear" w:color="auto" w:fill="auto"/>
    </w:rPr>
  </w:style>
  <w:style w:type="character" w:styleId="68">
    <w:name w:val="line number"/>
    <w:basedOn w:val="62"/>
    <w:qFormat/>
    <w:uiPriority w:val="0"/>
    <w:rPr>
      <w:rFonts w:cs="Times New Roman"/>
    </w:rPr>
  </w:style>
  <w:style w:type="character" w:styleId="69">
    <w:name w:val="HTML Typewriter"/>
    <w:basedOn w:val="62"/>
    <w:qFormat/>
    <w:uiPriority w:val="0"/>
    <w:rPr>
      <w:rFonts w:ascii="宋体" w:hAnsi="宋体" w:eastAsia="宋体"/>
      <w:sz w:val="24"/>
    </w:rPr>
  </w:style>
  <w:style w:type="character" w:styleId="70">
    <w:name w:val="Hyperlink"/>
    <w:basedOn w:val="62"/>
    <w:qFormat/>
    <w:uiPriority w:val="99"/>
    <w:rPr>
      <w:color w:val="0000FF"/>
      <w:u w:val="single"/>
    </w:rPr>
  </w:style>
  <w:style w:type="character" w:styleId="71">
    <w:name w:val="annotation reference"/>
    <w:basedOn w:val="62"/>
    <w:qFormat/>
    <w:uiPriority w:val="99"/>
    <w:rPr>
      <w:sz w:val="21"/>
    </w:rPr>
  </w:style>
  <w:style w:type="character" w:styleId="72">
    <w:name w:val="footnote reference"/>
    <w:basedOn w:val="62"/>
    <w:qFormat/>
    <w:uiPriority w:val="0"/>
    <w:rPr>
      <w:vertAlign w:val="superscript"/>
    </w:rPr>
  </w:style>
  <w:style w:type="character" w:styleId="73">
    <w:name w:val="HTML Sample"/>
    <w:basedOn w:val="62"/>
    <w:qFormat/>
    <w:uiPriority w:val="0"/>
    <w:rPr>
      <w:rFonts w:ascii="Courier New" w:hAnsi="宋体" w:eastAsia="宋体"/>
    </w:rPr>
  </w:style>
  <w:style w:type="character" w:customStyle="1" w:styleId="74">
    <w:name w:val="页脚 Char1"/>
    <w:basedOn w:val="62"/>
    <w:qFormat/>
    <w:uiPriority w:val="0"/>
    <w:rPr>
      <w:rFonts w:cs="Times New Roman"/>
      <w:kern w:val="2"/>
      <w:sz w:val="18"/>
      <w:szCs w:val="18"/>
    </w:rPr>
  </w:style>
  <w:style w:type="character" w:customStyle="1" w:styleId="75">
    <w:name w:val="正文文本 字符"/>
    <w:basedOn w:val="62"/>
    <w:link w:val="23"/>
    <w:qFormat/>
    <w:uiPriority w:val="0"/>
    <w:rPr>
      <w:rFonts w:ascii="楷体_GB2312" w:hAnsi="Arial" w:eastAsia="楷体_GB2312" w:cs="Times New Roman"/>
      <w:sz w:val="20"/>
      <w:szCs w:val="20"/>
    </w:rPr>
  </w:style>
  <w:style w:type="character" w:customStyle="1" w:styleId="76">
    <w:name w:val="Body Text Indent 2 Char"/>
    <w:qFormat/>
    <w:uiPriority w:val="0"/>
    <w:rPr>
      <w:rFonts w:ascii="Arial" w:hAnsi="Arial" w:eastAsia="仿宋_GB2312"/>
      <w:sz w:val="32"/>
    </w:rPr>
  </w:style>
  <w:style w:type="character" w:customStyle="1" w:styleId="77">
    <w:name w:val="标题 5 字符"/>
    <w:basedOn w:val="62"/>
    <w:link w:val="7"/>
    <w:qFormat/>
    <w:uiPriority w:val="0"/>
    <w:rPr>
      <w:rFonts w:ascii="黑体" w:hAnsi="Times New Roman" w:eastAsia="黑体" w:cs="Times New Roman"/>
      <w:b/>
      <w:color w:val="000000"/>
      <w:kern w:val="0"/>
      <w:sz w:val="20"/>
      <w:szCs w:val="20"/>
    </w:rPr>
  </w:style>
  <w:style w:type="character" w:customStyle="1" w:styleId="78">
    <w:name w:val="Body Text Indent 3 Char1"/>
    <w:basedOn w:val="62"/>
    <w:qFormat/>
    <w:uiPriority w:val="0"/>
    <w:rPr>
      <w:rFonts w:ascii="Times New Roman" w:hAnsi="Times New Roman"/>
      <w:kern w:val="2"/>
      <w:sz w:val="16"/>
      <w:szCs w:val="16"/>
    </w:rPr>
  </w:style>
  <w:style w:type="character" w:customStyle="1" w:styleId="79">
    <w:name w:val="副标题 字符"/>
    <w:basedOn w:val="62"/>
    <w:link w:val="43"/>
    <w:qFormat/>
    <w:uiPriority w:val="0"/>
    <w:rPr>
      <w:rFonts w:ascii="Cambria" w:hAnsi="Cambria" w:eastAsia="宋体" w:cs="Times New Roman"/>
      <w:i/>
      <w:iCs/>
      <w:spacing w:val="13"/>
      <w:kern w:val="0"/>
      <w:sz w:val="24"/>
      <w:szCs w:val="24"/>
      <w:lang w:eastAsia="en-US"/>
    </w:rPr>
  </w:style>
  <w:style w:type="character" w:customStyle="1" w:styleId="80">
    <w:name w:val="listbenefit"/>
    <w:qFormat/>
    <w:uiPriority w:val="0"/>
  </w:style>
  <w:style w:type="character" w:customStyle="1" w:styleId="81">
    <w:name w:val="Char Char27"/>
    <w:qFormat/>
    <w:uiPriority w:val="0"/>
    <w:rPr>
      <w:b/>
      <w:kern w:val="44"/>
      <w:sz w:val="44"/>
    </w:rPr>
  </w:style>
  <w:style w:type="character" w:customStyle="1" w:styleId="82">
    <w:name w:val="param-value"/>
    <w:basedOn w:val="62"/>
    <w:qFormat/>
    <w:uiPriority w:val="0"/>
    <w:rPr>
      <w:rFonts w:cs="Times New Roman"/>
    </w:rPr>
  </w:style>
  <w:style w:type="character" w:customStyle="1" w:styleId="83">
    <w:name w:val="纯文本 Char Char Char1"/>
    <w:qFormat/>
    <w:uiPriority w:val="0"/>
    <w:rPr>
      <w:rFonts w:ascii="宋体" w:hAnsi="Courier New" w:eastAsia="宋体"/>
      <w:kern w:val="2"/>
      <w:sz w:val="21"/>
      <w:lang w:val="en-US" w:eastAsia="zh-CN"/>
    </w:rPr>
  </w:style>
  <w:style w:type="character" w:customStyle="1" w:styleId="84">
    <w:name w:val="apple-converted-space"/>
    <w:basedOn w:val="62"/>
    <w:qFormat/>
    <w:uiPriority w:val="0"/>
    <w:rPr>
      <w:rFonts w:cs="Times New Roman"/>
    </w:rPr>
  </w:style>
  <w:style w:type="character" w:customStyle="1" w:styleId="85">
    <w:name w:val="Char Char29"/>
    <w:qFormat/>
    <w:uiPriority w:val="0"/>
    <w:rPr>
      <w:rFonts w:ascii="Times New Roman" w:hAnsi="Times New Roman" w:eastAsia="宋体"/>
      <w:b/>
      <w:kern w:val="44"/>
      <w:sz w:val="44"/>
    </w:rPr>
  </w:style>
  <w:style w:type="character" w:customStyle="1" w:styleId="86">
    <w:name w:val="标题 3 Char"/>
    <w:basedOn w:val="62"/>
    <w:qFormat/>
    <w:uiPriority w:val="0"/>
    <w:rPr>
      <w:rFonts w:ascii="Times New Roman" w:hAnsi="Times New Roman" w:eastAsia="宋体" w:cs="Times New Roman"/>
      <w:b/>
      <w:bCs/>
      <w:sz w:val="32"/>
      <w:szCs w:val="32"/>
    </w:rPr>
  </w:style>
  <w:style w:type="character" w:customStyle="1" w:styleId="87">
    <w:name w:val="标题 4 字符"/>
    <w:basedOn w:val="62"/>
    <w:link w:val="6"/>
    <w:qFormat/>
    <w:uiPriority w:val="0"/>
    <w:rPr>
      <w:rFonts w:ascii="Arial" w:hAnsi="Arial" w:eastAsia="黑体" w:cs="Times New Roman"/>
      <w:b/>
      <w:sz w:val="20"/>
      <w:szCs w:val="20"/>
    </w:rPr>
  </w:style>
  <w:style w:type="character" w:customStyle="1" w:styleId="88">
    <w:name w:val="正文文本 3 字符"/>
    <w:basedOn w:val="62"/>
    <w:link w:val="22"/>
    <w:qFormat/>
    <w:uiPriority w:val="0"/>
    <w:rPr>
      <w:rFonts w:ascii="仿宋_GB2312" w:hAnsi="Arial" w:eastAsia="仿宋_GB2312" w:cs="Times New Roman"/>
      <w:sz w:val="20"/>
      <w:szCs w:val="20"/>
    </w:rPr>
  </w:style>
  <w:style w:type="character" w:customStyle="1" w:styleId="89">
    <w:name w:val="正文文本缩进 Char"/>
    <w:basedOn w:val="62"/>
    <w:qFormat/>
    <w:uiPriority w:val="0"/>
    <w:rPr>
      <w:rFonts w:ascii="Times New Roman" w:hAnsi="Times New Roman" w:eastAsia="宋体" w:cs="Times New Roman"/>
      <w:sz w:val="20"/>
      <w:szCs w:val="20"/>
    </w:rPr>
  </w:style>
  <w:style w:type="character" w:customStyle="1" w:styleId="90">
    <w:name w:val="Plain Text Char"/>
    <w:qFormat/>
    <w:uiPriority w:val="0"/>
    <w:rPr>
      <w:rFonts w:ascii="宋体" w:hAnsi="Courier New"/>
    </w:rPr>
  </w:style>
  <w:style w:type="character" w:customStyle="1" w:styleId="91">
    <w:name w:val="HTML 预设格式 Char"/>
    <w:basedOn w:val="62"/>
    <w:qFormat/>
    <w:uiPriority w:val="0"/>
    <w:rPr>
      <w:rFonts w:ascii="Courier New" w:hAnsi="Courier New" w:eastAsia="宋体" w:cs="Courier New"/>
      <w:sz w:val="20"/>
      <w:szCs w:val="20"/>
    </w:rPr>
  </w:style>
  <w:style w:type="character" w:customStyle="1" w:styleId="92">
    <w:name w:val="批注文字 Char Char"/>
    <w:qFormat/>
    <w:uiPriority w:val="0"/>
    <w:rPr>
      <w:rFonts w:eastAsia="宋体"/>
      <w:kern w:val="2"/>
      <w:sz w:val="21"/>
      <w:lang w:val="en-US" w:eastAsia="zh-CN"/>
    </w:rPr>
  </w:style>
  <w:style w:type="character" w:customStyle="1" w:styleId="93">
    <w:name w:val="Body Text Indent Char"/>
    <w:qFormat/>
    <w:uiPriority w:val="0"/>
    <w:rPr>
      <w:rFonts w:ascii="楷体_GB2312" w:eastAsia="楷体_GB2312"/>
      <w:sz w:val="32"/>
    </w:rPr>
  </w:style>
  <w:style w:type="character" w:customStyle="1" w:styleId="94">
    <w:name w:val="已访问的超链接1"/>
    <w:qFormat/>
    <w:uiPriority w:val="0"/>
    <w:rPr>
      <w:color w:val="auto"/>
      <w:u w:val="none"/>
    </w:rPr>
  </w:style>
  <w:style w:type="character" w:customStyle="1" w:styleId="95">
    <w:name w:val="纯文本 Char Char Char"/>
    <w:qFormat/>
    <w:uiPriority w:val="0"/>
    <w:rPr>
      <w:rFonts w:ascii="宋体" w:hAnsi="Courier New" w:eastAsia="宋体"/>
      <w:kern w:val="2"/>
      <w:sz w:val="21"/>
      <w:lang w:val="en-US" w:eastAsia="zh-CN"/>
    </w:rPr>
  </w:style>
  <w:style w:type="character" w:customStyle="1" w:styleId="96">
    <w:name w:val="普通文字1 Char"/>
    <w:qFormat/>
    <w:uiPriority w:val="0"/>
    <w:rPr>
      <w:rFonts w:ascii="宋体" w:eastAsia="宋体"/>
      <w:kern w:val="2"/>
      <w:sz w:val="21"/>
      <w:lang w:val="en-US" w:eastAsia="zh-CN"/>
    </w:rPr>
  </w:style>
  <w:style w:type="character" w:customStyle="1" w:styleId="97">
    <w:name w:val="Comment Subject Char"/>
    <w:qFormat/>
    <w:uiPriority w:val="0"/>
    <w:rPr>
      <w:b/>
    </w:rPr>
  </w:style>
  <w:style w:type="character" w:customStyle="1" w:styleId="98">
    <w:name w:val="Char Char28"/>
    <w:qFormat/>
    <w:uiPriority w:val="0"/>
    <w:rPr>
      <w:rFonts w:ascii="Arial" w:hAnsi="Arial" w:eastAsia="黑体"/>
      <w:b/>
      <w:sz w:val="32"/>
    </w:rPr>
  </w:style>
  <w:style w:type="character" w:customStyle="1" w:styleId="99">
    <w:name w:val="Char Char23"/>
    <w:qFormat/>
    <w:uiPriority w:val="0"/>
    <w:rPr>
      <w:rFonts w:ascii="Arial" w:hAnsi="Arial" w:eastAsia="黑体"/>
      <w:b/>
      <w:kern w:val="2"/>
      <w:sz w:val="24"/>
    </w:rPr>
  </w:style>
  <w:style w:type="character" w:customStyle="1" w:styleId="100">
    <w:name w:val="Char Char21"/>
    <w:qFormat/>
    <w:uiPriority w:val="0"/>
    <w:rPr>
      <w:rFonts w:ascii="Arial" w:hAnsi="Arial" w:eastAsia="黑体"/>
      <w:kern w:val="2"/>
      <w:sz w:val="24"/>
    </w:rPr>
  </w:style>
  <w:style w:type="character" w:customStyle="1" w:styleId="101">
    <w:name w:val="Char Char2"/>
    <w:qFormat/>
    <w:uiPriority w:val="0"/>
    <w:rPr>
      <w:rFonts w:ascii="宋体" w:hAnsi="Courier New" w:eastAsia="宋体"/>
      <w:kern w:val="2"/>
      <w:sz w:val="21"/>
      <w:lang w:val="en-US" w:eastAsia="zh-CN"/>
    </w:rPr>
  </w:style>
  <w:style w:type="character" w:customStyle="1" w:styleId="102">
    <w:name w:val="t1"/>
    <w:qFormat/>
    <w:uiPriority w:val="0"/>
  </w:style>
  <w:style w:type="character" w:customStyle="1" w:styleId="103">
    <w:name w:val="华宇段落1 Char Char Char"/>
    <w:qFormat/>
    <w:uiPriority w:val="0"/>
    <w:rPr>
      <w:rFonts w:eastAsia="宋体"/>
      <w:kern w:val="2"/>
      <w:sz w:val="24"/>
      <w:lang w:val="en-US" w:eastAsia="zh-CN"/>
    </w:rPr>
  </w:style>
  <w:style w:type="character" w:customStyle="1" w:styleId="104">
    <w:name w:val="正文文本首行缩进 字符"/>
    <w:basedOn w:val="75"/>
    <w:link w:val="58"/>
    <w:qFormat/>
    <w:uiPriority w:val="0"/>
    <w:rPr>
      <w:rFonts w:ascii="Times New Roman" w:hAnsi="Times New Roman" w:eastAsia="宋体" w:cs="Times New Roman"/>
      <w:sz w:val="24"/>
      <w:szCs w:val="24"/>
    </w:rPr>
  </w:style>
  <w:style w:type="character" w:customStyle="1" w:styleId="105">
    <w:name w:val="纯文本 Char1"/>
    <w:qFormat/>
    <w:uiPriority w:val="0"/>
    <w:rPr>
      <w:rFonts w:ascii="宋体" w:hAnsi="Courier New"/>
      <w:kern w:val="2"/>
      <w:sz w:val="21"/>
    </w:rPr>
  </w:style>
  <w:style w:type="character" w:customStyle="1" w:styleId="106">
    <w:name w:val="textcontents"/>
    <w:basedOn w:val="62"/>
    <w:qFormat/>
    <w:uiPriority w:val="0"/>
    <w:rPr>
      <w:rFonts w:cs="Times New Roman"/>
    </w:rPr>
  </w:style>
  <w:style w:type="character" w:customStyle="1" w:styleId="107">
    <w:name w:val="Intense Quote Char2"/>
    <w:basedOn w:val="62"/>
    <w:qFormat/>
    <w:uiPriority w:val="0"/>
    <w:rPr>
      <w:rFonts w:ascii="Times New Roman" w:hAnsi="Times New Roman" w:eastAsia="宋体" w:cs="Times New Roman"/>
      <w:b/>
      <w:bCs/>
      <w:i/>
      <w:iCs/>
      <w:color w:val="4F81BD"/>
      <w:sz w:val="20"/>
      <w:szCs w:val="20"/>
    </w:rPr>
  </w:style>
  <w:style w:type="character" w:customStyle="1" w:styleId="108">
    <w:name w:val="纯文本 Char"/>
    <w:basedOn w:val="62"/>
    <w:qFormat/>
    <w:uiPriority w:val="0"/>
    <w:rPr>
      <w:rFonts w:ascii="宋体" w:hAnsi="Courier New" w:eastAsia="宋体" w:cs="Courier New"/>
      <w:sz w:val="21"/>
      <w:szCs w:val="21"/>
    </w:rPr>
  </w:style>
  <w:style w:type="character" w:customStyle="1" w:styleId="109">
    <w:name w:val="我的正文 Char Char"/>
    <w:link w:val="110"/>
    <w:qFormat/>
    <w:uiPriority w:val="0"/>
    <w:rPr>
      <w:rFonts w:ascii="宋体" w:eastAsia="宋体"/>
      <w:sz w:val="21"/>
    </w:rPr>
  </w:style>
  <w:style w:type="paragraph" w:customStyle="1" w:styleId="110">
    <w:name w:val="我的正文"/>
    <w:basedOn w:val="1"/>
    <w:link w:val="109"/>
    <w:qFormat/>
    <w:uiPriority w:val="0"/>
    <w:pPr>
      <w:widowControl/>
      <w:spacing w:line="360" w:lineRule="auto"/>
      <w:ind w:firstLine="420"/>
      <w:jc w:val="left"/>
    </w:pPr>
    <w:rPr>
      <w:rFonts w:ascii="宋体" w:hAnsi="Calibri"/>
      <w:kern w:val="0"/>
    </w:rPr>
  </w:style>
  <w:style w:type="character" w:customStyle="1" w:styleId="111">
    <w:name w:val="Title Char"/>
    <w:qFormat/>
    <w:uiPriority w:val="0"/>
    <w:rPr>
      <w:rFonts w:eastAsia="黑体"/>
      <w:b/>
      <w:sz w:val="28"/>
      <w:lang w:val="en-GB"/>
    </w:rPr>
  </w:style>
  <w:style w:type="character" w:customStyle="1" w:styleId="112">
    <w:name w:val="正文文本缩进 3 字符"/>
    <w:basedOn w:val="62"/>
    <w:link w:val="46"/>
    <w:qFormat/>
    <w:uiPriority w:val="0"/>
    <w:rPr>
      <w:rFonts w:ascii="Times New Roman" w:hAnsi="Times New Roman" w:eastAsia="宋体" w:cs="Times New Roman"/>
      <w:sz w:val="16"/>
      <w:szCs w:val="16"/>
    </w:rPr>
  </w:style>
  <w:style w:type="character" w:customStyle="1" w:styleId="113">
    <w:name w:val="Title1 Char"/>
    <w:qFormat/>
    <w:uiPriority w:val="0"/>
    <w:rPr>
      <w:rFonts w:eastAsia="宋体"/>
      <w:b/>
      <w:kern w:val="44"/>
      <w:sz w:val="44"/>
      <w:lang w:val="en-US" w:eastAsia="zh-CN"/>
    </w:rPr>
  </w:style>
  <w:style w:type="character" w:customStyle="1" w:styleId="114">
    <w:name w:val="content"/>
    <w:basedOn w:val="62"/>
    <w:qFormat/>
    <w:uiPriority w:val="0"/>
    <w:rPr>
      <w:rFonts w:cs="Times New Roman"/>
    </w:rPr>
  </w:style>
  <w:style w:type="character" w:customStyle="1" w:styleId="115">
    <w:name w:val="Char Char17"/>
    <w:qFormat/>
    <w:uiPriority w:val="0"/>
    <w:rPr>
      <w:rFonts w:ascii="宋体" w:hAnsi="Courier New"/>
      <w:kern w:val="2"/>
      <w:sz w:val="21"/>
    </w:rPr>
  </w:style>
  <w:style w:type="character" w:customStyle="1" w:styleId="116">
    <w:name w:val="标准小四 Char Char"/>
    <w:qFormat/>
    <w:uiPriority w:val="0"/>
    <w:rPr>
      <w:rFonts w:ascii="Arial" w:hAnsi="Arial" w:eastAsia="宋体"/>
      <w:kern w:val="2"/>
      <w:sz w:val="21"/>
      <w:lang w:val="en-US" w:eastAsia="zh-CN"/>
    </w:rPr>
  </w:style>
  <w:style w:type="character" w:customStyle="1" w:styleId="117">
    <w:name w:val="样式 宋体 小四"/>
    <w:qFormat/>
    <w:uiPriority w:val="0"/>
    <w:rPr>
      <w:rFonts w:ascii="宋体" w:eastAsia="宋体"/>
      <w:sz w:val="24"/>
    </w:rPr>
  </w:style>
  <w:style w:type="character" w:customStyle="1" w:styleId="118">
    <w:name w:val="ih151"/>
    <w:qFormat/>
    <w:uiPriority w:val="0"/>
    <w:rPr>
      <w:color w:val="666666"/>
      <w:sz w:val="18"/>
      <w:u w:val="none"/>
    </w:rPr>
  </w:style>
  <w:style w:type="character" w:customStyle="1" w:styleId="119">
    <w:name w:val="style13"/>
    <w:qFormat/>
    <w:uiPriority w:val="0"/>
    <w:rPr>
      <w:sz w:val="18"/>
    </w:rPr>
  </w:style>
  <w:style w:type="character" w:customStyle="1" w:styleId="120">
    <w:name w:val="纯文本 字符"/>
    <w:basedOn w:val="62"/>
    <w:link w:val="29"/>
    <w:qFormat/>
    <w:uiPriority w:val="99"/>
    <w:rPr>
      <w:rFonts w:ascii="宋体" w:hAnsi="Courier New" w:cs="Courier New"/>
      <w:kern w:val="2"/>
      <w:sz w:val="21"/>
      <w:szCs w:val="21"/>
    </w:rPr>
  </w:style>
  <w:style w:type="character" w:customStyle="1" w:styleId="121">
    <w:name w:val="标题 6 字符"/>
    <w:basedOn w:val="62"/>
    <w:link w:val="8"/>
    <w:qFormat/>
    <w:uiPriority w:val="0"/>
    <w:rPr>
      <w:rFonts w:ascii="Arial" w:hAnsi="Arial" w:eastAsia="黑体" w:cs="Times New Roman"/>
      <w:b/>
      <w:bCs/>
      <w:sz w:val="24"/>
      <w:szCs w:val="24"/>
    </w:rPr>
  </w:style>
  <w:style w:type="character" w:customStyle="1" w:styleId="122">
    <w:name w:val="style131"/>
    <w:qFormat/>
    <w:uiPriority w:val="0"/>
    <w:rPr>
      <w:sz w:val="18"/>
    </w:rPr>
  </w:style>
  <w:style w:type="character" w:customStyle="1" w:styleId="123">
    <w:name w:val="Char Char25"/>
    <w:qFormat/>
    <w:uiPriority w:val="0"/>
    <w:rPr>
      <w:rFonts w:ascii="Arial" w:hAnsi="Arial" w:eastAsia="黑体"/>
      <w:b/>
      <w:kern w:val="2"/>
      <w:sz w:val="28"/>
    </w:rPr>
  </w:style>
  <w:style w:type="character" w:customStyle="1" w:styleId="124">
    <w:name w:val="不明显强调1"/>
    <w:basedOn w:val="62"/>
    <w:qFormat/>
    <w:uiPriority w:val="0"/>
    <w:rPr>
      <w:i/>
    </w:rPr>
  </w:style>
  <w:style w:type="character" w:customStyle="1" w:styleId="125">
    <w:name w:val="标准文本 Char Char"/>
    <w:qFormat/>
    <w:uiPriority w:val="0"/>
    <w:rPr>
      <w:rFonts w:eastAsia="宋体"/>
      <w:kern w:val="2"/>
      <w:sz w:val="24"/>
      <w:lang w:val="en-US" w:eastAsia="zh-CN"/>
    </w:rPr>
  </w:style>
  <w:style w:type="character" w:customStyle="1" w:styleId="126">
    <w:name w:val="Comment Subject Char1"/>
    <w:basedOn w:val="127"/>
    <w:qFormat/>
    <w:uiPriority w:val="0"/>
    <w:rPr>
      <w:rFonts w:ascii="Times New Roman" w:hAnsi="Times New Roman" w:eastAsia="宋体" w:cs="Times New Roman"/>
      <w:b/>
      <w:bCs/>
      <w:kern w:val="2"/>
      <w:sz w:val="21"/>
      <w:szCs w:val="20"/>
    </w:rPr>
  </w:style>
  <w:style w:type="character" w:customStyle="1" w:styleId="127">
    <w:name w:val="批注文字 字符"/>
    <w:basedOn w:val="62"/>
    <w:link w:val="19"/>
    <w:qFormat/>
    <w:uiPriority w:val="99"/>
    <w:rPr>
      <w:rFonts w:ascii="Times New Roman" w:hAnsi="Times New Roman" w:eastAsia="宋体" w:cs="Times New Roman"/>
      <w:sz w:val="20"/>
      <w:szCs w:val="20"/>
    </w:rPr>
  </w:style>
  <w:style w:type="character" w:customStyle="1" w:styleId="128">
    <w:name w:val="normalfont1"/>
    <w:qFormat/>
    <w:uiPriority w:val="0"/>
    <w:rPr>
      <w:rFonts w:ascii="??" w:hAnsi="??"/>
      <w:sz w:val="18"/>
      <w:u w:val="none"/>
    </w:rPr>
  </w:style>
  <w:style w:type="character" w:customStyle="1" w:styleId="129">
    <w:name w:val="小四 段落 宋体 Char Char Char Char Char Char Char Char"/>
    <w:qFormat/>
    <w:uiPriority w:val="0"/>
    <w:rPr>
      <w:rFonts w:eastAsia="宋体"/>
      <w:kern w:val="2"/>
      <w:sz w:val="24"/>
      <w:lang w:val="en-US" w:eastAsia="zh-CN"/>
    </w:rPr>
  </w:style>
  <w:style w:type="character" w:customStyle="1" w:styleId="130">
    <w:name w:val="签名 字符"/>
    <w:basedOn w:val="62"/>
    <w:link w:val="38"/>
    <w:qFormat/>
    <w:uiPriority w:val="0"/>
    <w:rPr>
      <w:rFonts w:ascii="Times New Roman" w:hAnsi="Times New Roman" w:eastAsia="仿宋_GB2312" w:cs="Times New Roman"/>
      <w:kern w:val="0"/>
      <w:sz w:val="20"/>
      <w:szCs w:val="20"/>
    </w:rPr>
  </w:style>
  <w:style w:type="character" w:customStyle="1" w:styleId="131">
    <w:name w:val="标题 Char1"/>
    <w:qFormat/>
    <w:uiPriority w:val="0"/>
    <w:rPr>
      <w:rFonts w:ascii="Cambria" w:eastAsia="宋体"/>
      <w:b/>
      <w:sz w:val="32"/>
    </w:rPr>
  </w:style>
  <w:style w:type="character" w:customStyle="1" w:styleId="132">
    <w:name w:val="脚注文本 字符"/>
    <w:basedOn w:val="62"/>
    <w:link w:val="44"/>
    <w:qFormat/>
    <w:uiPriority w:val="0"/>
    <w:rPr>
      <w:rFonts w:ascii="Times New Roman" w:hAnsi="Times New Roman" w:eastAsia="宋体" w:cs="Times New Roman"/>
      <w:sz w:val="18"/>
      <w:szCs w:val="18"/>
    </w:rPr>
  </w:style>
  <w:style w:type="character" w:customStyle="1" w:styleId="133">
    <w:name w:val="页眉 字符"/>
    <w:basedOn w:val="62"/>
    <w:link w:val="37"/>
    <w:qFormat/>
    <w:uiPriority w:val="0"/>
    <w:rPr>
      <w:rFonts w:cs="Times New Roman"/>
      <w:sz w:val="18"/>
      <w:szCs w:val="18"/>
    </w:rPr>
  </w:style>
  <w:style w:type="character" w:customStyle="1" w:styleId="134">
    <w:name w:val="Quote Char Char"/>
    <w:qFormat/>
    <w:uiPriority w:val="0"/>
    <w:rPr>
      <w:rFonts w:ascii="Calibri" w:hAnsi="Calibri"/>
      <w:i/>
      <w:sz w:val="22"/>
      <w:lang w:eastAsia="en-US"/>
    </w:rPr>
  </w:style>
  <w:style w:type="character" w:customStyle="1" w:styleId="135">
    <w:name w:val="content_lineheight1"/>
    <w:basedOn w:val="62"/>
    <w:qFormat/>
    <w:uiPriority w:val="0"/>
    <w:rPr>
      <w:rFonts w:cs="Times New Roman"/>
    </w:rPr>
  </w:style>
  <w:style w:type="character" w:customStyle="1" w:styleId="136">
    <w:name w:val="标题 7 字符"/>
    <w:basedOn w:val="62"/>
    <w:link w:val="9"/>
    <w:qFormat/>
    <w:uiPriority w:val="0"/>
    <w:rPr>
      <w:rFonts w:ascii="Times New Roman" w:hAnsi="Times New Roman" w:eastAsia="宋体" w:cs="Times New Roman"/>
      <w:b/>
      <w:bCs/>
      <w:sz w:val="24"/>
      <w:szCs w:val="24"/>
    </w:rPr>
  </w:style>
  <w:style w:type="character" w:customStyle="1" w:styleId="137">
    <w:name w:val="Title Char1"/>
    <w:basedOn w:val="62"/>
    <w:qFormat/>
    <w:uiPriority w:val="0"/>
    <w:rPr>
      <w:rFonts w:ascii="Cambria" w:hAnsi="Cambria" w:cs="Times New Roman"/>
      <w:b/>
      <w:bCs/>
      <w:kern w:val="2"/>
      <w:sz w:val="32"/>
      <w:szCs w:val="32"/>
    </w:rPr>
  </w:style>
  <w:style w:type="character" w:customStyle="1" w:styleId="138">
    <w:name w:val="正文 + 宋体 Char"/>
    <w:qFormat/>
    <w:uiPriority w:val="0"/>
    <w:rPr>
      <w:rFonts w:eastAsia="宋体"/>
      <w:kern w:val="2"/>
      <w:sz w:val="24"/>
      <w:lang w:val="en-US" w:eastAsia="zh-CN"/>
    </w:rPr>
  </w:style>
  <w:style w:type="character" w:customStyle="1" w:styleId="139">
    <w:name w:val="日期 字符"/>
    <w:basedOn w:val="62"/>
    <w:link w:val="32"/>
    <w:qFormat/>
    <w:uiPriority w:val="0"/>
    <w:rPr>
      <w:rFonts w:ascii="Times New Roman" w:hAnsi="Times New Roman" w:eastAsia="宋体" w:cs="Times New Roman"/>
      <w:sz w:val="20"/>
      <w:szCs w:val="20"/>
    </w:rPr>
  </w:style>
  <w:style w:type="character" w:customStyle="1" w:styleId="140">
    <w:name w:val="特点 Char1"/>
    <w:qFormat/>
    <w:uiPriority w:val="0"/>
    <w:rPr>
      <w:rFonts w:eastAsia="宋体"/>
      <w:kern w:val="2"/>
      <w:sz w:val="21"/>
      <w:lang w:val="en-US" w:eastAsia="zh-CN"/>
    </w:rPr>
  </w:style>
  <w:style w:type="character" w:customStyle="1" w:styleId="141">
    <w:name w:val="表格抬头 Char Char"/>
    <w:link w:val="142"/>
    <w:qFormat/>
    <w:uiPriority w:val="0"/>
    <w:rPr>
      <w:rFonts w:ascii="黑体" w:eastAsia="黑体"/>
      <w:b/>
    </w:rPr>
  </w:style>
  <w:style w:type="paragraph" w:customStyle="1" w:styleId="142">
    <w:name w:val="表格抬头"/>
    <w:basedOn w:val="1"/>
    <w:link w:val="141"/>
    <w:qFormat/>
    <w:uiPriority w:val="0"/>
    <w:pPr>
      <w:jc w:val="center"/>
    </w:pPr>
    <w:rPr>
      <w:rFonts w:ascii="黑体" w:hAnsi="Calibri" w:eastAsia="黑体"/>
      <w:b/>
      <w:kern w:val="0"/>
      <w:sz w:val="20"/>
    </w:rPr>
  </w:style>
  <w:style w:type="character" w:customStyle="1" w:styleId="143">
    <w:name w:val="批注主题 字符"/>
    <w:basedOn w:val="127"/>
    <w:link w:val="57"/>
    <w:qFormat/>
    <w:uiPriority w:val="0"/>
    <w:rPr>
      <w:rFonts w:ascii="Times New Roman" w:hAnsi="Times New Roman" w:eastAsia="宋体" w:cs="Times New Roman"/>
      <w:b/>
      <w:bCs/>
      <w:sz w:val="20"/>
      <w:szCs w:val="20"/>
    </w:rPr>
  </w:style>
  <w:style w:type="character" w:customStyle="1" w:styleId="144">
    <w:name w:val="HTML Preformatted Char"/>
    <w:qFormat/>
    <w:uiPriority w:val="0"/>
    <w:rPr>
      <w:rFonts w:ascii="黑体" w:hAnsi="Courier New" w:eastAsia="黑体"/>
    </w:rPr>
  </w:style>
  <w:style w:type="character" w:customStyle="1" w:styleId="145">
    <w:name w:val="h Char Char"/>
    <w:qFormat/>
    <w:uiPriority w:val="0"/>
    <w:rPr>
      <w:rFonts w:eastAsia="宋体"/>
      <w:kern w:val="2"/>
      <w:sz w:val="18"/>
      <w:lang w:val="en-US" w:eastAsia="zh-CN"/>
    </w:rPr>
  </w:style>
  <w:style w:type="character" w:customStyle="1" w:styleId="146">
    <w:name w:val="subtitle1"/>
    <w:qFormat/>
    <w:uiPriority w:val="0"/>
    <w:rPr>
      <w:rFonts w:ascii="Georgia" w:hAnsi="Georgia"/>
      <w:b/>
      <w:color w:val="666666"/>
      <w:sz w:val="18"/>
    </w:rPr>
  </w:style>
  <w:style w:type="character" w:customStyle="1" w:styleId="147">
    <w:name w:val="样式 非加粗"/>
    <w:qFormat/>
    <w:uiPriority w:val="0"/>
    <w:rPr>
      <w:rFonts w:eastAsia="宋体"/>
      <w:sz w:val="28"/>
    </w:rPr>
  </w:style>
  <w:style w:type="character" w:customStyle="1" w:styleId="148">
    <w:name w:val="小四 段落 宋体 Char Char Char Char Char"/>
    <w:link w:val="149"/>
    <w:qFormat/>
    <w:uiPriority w:val="0"/>
    <w:rPr>
      <w:rFonts w:eastAsia="宋体"/>
      <w:kern w:val="2"/>
      <w:sz w:val="24"/>
      <w:lang w:val="en-US" w:eastAsia="zh-CN"/>
    </w:rPr>
  </w:style>
  <w:style w:type="paragraph" w:customStyle="1" w:styleId="149">
    <w:name w:val="小四 段落 宋体"/>
    <w:basedOn w:val="16"/>
    <w:link w:val="148"/>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0">
    <w:name w:val="标题 8 字符"/>
    <w:basedOn w:val="62"/>
    <w:link w:val="10"/>
    <w:qFormat/>
    <w:uiPriority w:val="0"/>
    <w:rPr>
      <w:rFonts w:ascii="Arial" w:hAnsi="Arial" w:eastAsia="黑体" w:cs="Times New Roman"/>
      <w:sz w:val="24"/>
      <w:szCs w:val="24"/>
    </w:rPr>
  </w:style>
  <w:style w:type="character" w:customStyle="1" w:styleId="151">
    <w:name w:val="Document Map Char"/>
    <w:qFormat/>
    <w:uiPriority w:val="0"/>
    <w:rPr>
      <w:shd w:val="clear" w:color="auto" w:fill="000080"/>
    </w:rPr>
  </w:style>
  <w:style w:type="character" w:customStyle="1" w:styleId="152">
    <w:name w:val="para_small"/>
    <w:basedOn w:val="62"/>
    <w:qFormat/>
    <w:uiPriority w:val="0"/>
    <w:rPr>
      <w:rFonts w:cs="Times New Roman"/>
    </w:rPr>
  </w:style>
  <w:style w:type="character" w:customStyle="1" w:styleId="153">
    <w:name w:val="2nd level Char"/>
    <w:qFormat/>
    <w:uiPriority w:val="0"/>
    <w:rPr>
      <w:rFonts w:ascii="Arial" w:hAnsi="Arial" w:eastAsia="黑体"/>
      <w:b/>
      <w:kern w:val="2"/>
      <w:sz w:val="32"/>
      <w:lang w:val="en-US" w:eastAsia="zh-CN"/>
    </w:rPr>
  </w:style>
  <w:style w:type="character" w:customStyle="1" w:styleId="154">
    <w:name w:val="小四 段落 宋体 Char Char Char Char1"/>
    <w:qFormat/>
    <w:uiPriority w:val="0"/>
    <w:rPr>
      <w:rFonts w:eastAsia="宋体"/>
      <w:kern w:val="2"/>
      <w:sz w:val="24"/>
      <w:lang w:val="en-US" w:eastAsia="zh-CN"/>
    </w:rPr>
  </w:style>
  <w:style w:type="character" w:customStyle="1" w:styleId="155">
    <w:name w:val="Body Text Indent 2 Char1"/>
    <w:basedOn w:val="62"/>
    <w:qFormat/>
    <w:uiPriority w:val="0"/>
    <w:rPr>
      <w:rFonts w:ascii="Times New Roman" w:hAnsi="Times New Roman"/>
      <w:kern w:val="2"/>
      <w:sz w:val="21"/>
    </w:rPr>
  </w:style>
  <w:style w:type="character" w:customStyle="1" w:styleId="156">
    <w:name w:val="标题 9 字符"/>
    <w:basedOn w:val="62"/>
    <w:link w:val="11"/>
    <w:qFormat/>
    <w:uiPriority w:val="0"/>
    <w:rPr>
      <w:rFonts w:ascii="Arial" w:hAnsi="Arial" w:eastAsia="黑体" w:cs="Times New Roman"/>
      <w:sz w:val="21"/>
      <w:szCs w:val="21"/>
    </w:rPr>
  </w:style>
  <w:style w:type="character" w:customStyle="1" w:styleId="157">
    <w:name w:val="明显强调1"/>
    <w:basedOn w:val="62"/>
    <w:qFormat/>
    <w:uiPriority w:val="0"/>
    <w:rPr>
      <w:b/>
    </w:rPr>
  </w:style>
  <w:style w:type="character" w:customStyle="1" w:styleId="158">
    <w:name w:val="标题 2 字符"/>
    <w:basedOn w:val="62"/>
    <w:link w:val="3"/>
    <w:qFormat/>
    <w:uiPriority w:val="0"/>
    <w:rPr>
      <w:rFonts w:ascii="宋体" w:hAnsi="宋体" w:eastAsia="宋体" w:cs="Times New Roman"/>
      <w:b/>
      <w:sz w:val="24"/>
      <w:szCs w:val="24"/>
    </w:rPr>
  </w:style>
  <w:style w:type="character" w:customStyle="1" w:styleId="159">
    <w:name w:val="标题 3 Char Char Char Char Char Char Char Char Char Char Char Char Char Char Char Char Char Char Char Char Char Char Char Char Char Char Char Char Char Char Char Char Char Char Char Char Char Char Char Char Char Char Char Char Char Char Char Char Cha Cha"/>
    <w:qFormat/>
    <w:uiPriority w:val="0"/>
    <w:rPr>
      <w:rFonts w:eastAsia="宋体"/>
      <w:b/>
      <w:kern w:val="2"/>
      <w:sz w:val="32"/>
      <w:lang w:val="en-US" w:eastAsia="zh-CN"/>
    </w:rPr>
  </w:style>
  <w:style w:type="character" w:customStyle="1" w:styleId="160">
    <w:name w:val="Quote Char2"/>
    <w:basedOn w:val="62"/>
    <w:qFormat/>
    <w:uiPriority w:val="0"/>
    <w:rPr>
      <w:rFonts w:ascii="Times New Roman" w:hAnsi="Times New Roman" w:eastAsia="宋体" w:cs="Times New Roman"/>
      <w:i/>
      <w:iCs/>
      <w:color w:val="000000"/>
      <w:sz w:val="20"/>
      <w:szCs w:val="20"/>
    </w:rPr>
  </w:style>
  <w:style w:type="character" w:customStyle="1" w:styleId="161">
    <w:name w:val="小四 段落 宋体 Char Char Char1"/>
    <w:qFormat/>
    <w:uiPriority w:val="0"/>
    <w:rPr>
      <w:rFonts w:ascii="宋体" w:hAnsi="宋体" w:eastAsia="宋体"/>
      <w:kern w:val="2"/>
      <w:sz w:val="24"/>
      <w:lang w:val="en-US" w:eastAsia="zh-CN"/>
    </w:rPr>
  </w:style>
  <w:style w:type="character" w:customStyle="1" w:styleId="162">
    <w:name w:val="正文文本缩进 2 字符"/>
    <w:basedOn w:val="62"/>
    <w:link w:val="33"/>
    <w:qFormat/>
    <w:uiPriority w:val="0"/>
    <w:rPr>
      <w:rFonts w:ascii="Times New Roman" w:hAnsi="Times New Roman" w:eastAsia="宋体" w:cs="Times New Roman"/>
      <w:sz w:val="20"/>
      <w:szCs w:val="20"/>
    </w:rPr>
  </w:style>
  <w:style w:type="character" w:customStyle="1" w:styleId="163">
    <w:name w:val="Quote Char1"/>
    <w:basedOn w:val="62"/>
    <w:link w:val="164"/>
    <w:qFormat/>
    <w:uiPriority w:val="0"/>
    <w:rPr>
      <w:rFonts w:ascii="Times New Roman" w:hAnsi="Times New Roman"/>
      <w:i/>
      <w:iCs/>
      <w:color w:val="000000"/>
      <w:kern w:val="2"/>
      <w:sz w:val="21"/>
    </w:rPr>
  </w:style>
  <w:style w:type="paragraph" w:customStyle="1" w:styleId="164">
    <w:name w:val="引用1"/>
    <w:basedOn w:val="1"/>
    <w:next w:val="1"/>
    <w:link w:val="163"/>
    <w:qFormat/>
    <w:uiPriority w:val="0"/>
    <w:pPr>
      <w:widowControl/>
      <w:spacing w:before="200" w:line="276" w:lineRule="auto"/>
      <w:ind w:left="360" w:right="360"/>
      <w:jc w:val="left"/>
    </w:pPr>
    <w:rPr>
      <w:i/>
      <w:iCs/>
      <w:color w:val="000000"/>
      <w:sz w:val="20"/>
    </w:rPr>
  </w:style>
  <w:style w:type="character" w:customStyle="1" w:styleId="165">
    <w:name w:val="文档结构图 Char"/>
    <w:basedOn w:val="62"/>
    <w:qFormat/>
    <w:uiPriority w:val="0"/>
    <w:rPr>
      <w:rFonts w:ascii="宋体" w:hAnsi="Times New Roman" w:eastAsia="宋体" w:cs="Times New Roman"/>
      <w:sz w:val="18"/>
      <w:szCs w:val="18"/>
    </w:rPr>
  </w:style>
  <w:style w:type="character" w:customStyle="1" w:styleId="166">
    <w:name w:val="HTML 预设格式 字符"/>
    <w:basedOn w:val="62"/>
    <w:link w:val="53"/>
    <w:qFormat/>
    <w:uiPriority w:val="0"/>
    <w:rPr>
      <w:rFonts w:ascii="Courier New" w:hAnsi="Courier New" w:cs="Courier New"/>
      <w:kern w:val="2"/>
    </w:rPr>
  </w:style>
  <w:style w:type="character" w:customStyle="1" w:styleId="167">
    <w:name w:val="标准文本 Char Char Char"/>
    <w:qFormat/>
    <w:uiPriority w:val="0"/>
    <w:rPr>
      <w:rFonts w:eastAsia="宋体"/>
      <w:kern w:val="2"/>
      <w:sz w:val="24"/>
      <w:lang w:val="en-US" w:eastAsia="zh-CN"/>
    </w:rPr>
  </w:style>
  <w:style w:type="character" w:customStyle="1" w:styleId="168">
    <w:name w:val="正文文本缩进 字符"/>
    <w:basedOn w:val="62"/>
    <w:link w:val="24"/>
    <w:qFormat/>
    <w:uiPriority w:val="0"/>
    <w:rPr>
      <w:rFonts w:ascii="Times New Roman" w:hAnsi="Times New Roman"/>
      <w:kern w:val="2"/>
      <w:sz w:val="21"/>
    </w:rPr>
  </w:style>
  <w:style w:type="character" w:customStyle="1" w:styleId="169">
    <w:name w:val="标题 字符"/>
    <w:basedOn w:val="62"/>
    <w:link w:val="56"/>
    <w:qFormat/>
    <w:uiPriority w:val="0"/>
    <w:rPr>
      <w:rFonts w:ascii="Cambria" w:hAnsi="Cambria" w:eastAsia="宋体" w:cs="Times New Roman"/>
      <w:b/>
      <w:bCs/>
      <w:sz w:val="32"/>
      <w:szCs w:val="32"/>
    </w:rPr>
  </w:style>
  <w:style w:type="character" w:customStyle="1" w:styleId="170">
    <w:name w:val="纯文本 Char Char"/>
    <w:qFormat/>
    <w:uiPriority w:val="0"/>
    <w:rPr>
      <w:rFonts w:ascii="宋体" w:hAnsi="Courier New" w:eastAsia="宋体"/>
      <w:kern w:val="2"/>
      <w:sz w:val="21"/>
      <w:lang w:val="en-US" w:eastAsia="zh-CN"/>
    </w:rPr>
  </w:style>
  <w:style w:type="character" w:customStyle="1" w:styleId="171">
    <w:name w:val="case31"/>
    <w:qFormat/>
    <w:uiPriority w:val="0"/>
    <w:rPr>
      <w:sz w:val="21"/>
    </w:rPr>
  </w:style>
  <w:style w:type="character" w:customStyle="1" w:styleId="172">
    <w:name w:val="正文文本 2 字符"/>
    <w:basedOn w:val="62"/>
    <w:link w:val="52"/>
    <w:qFormat/>
    <w:uiPriority w:val="0"/>
    <w:rPr>
      <w:rFonts w:ascii="楷体_GB2312" w:hAnsi="Times New Roman" w:eastAsia="楷体_GB2312" w:cs="Times New Roman"/>
      <w:sz w:val="20"/>
      <w:szCs w:val="20"/>
    </w:rPr>
  </w:style>
  <w:style w:type="character" w:customStyle="1" w:styleId="173">
    <w:name w:val="标题 3 Char Char"/>
    <w:qFormat/>
    <w:uiPriority w:val="0"/>
    <w:rPr>
      <w:rFonts w:eastAsia="仿宋_GB2312"/>
      <w:b/>
      <w:kern w:val="2"/>
      <w:sz w:val="32"/>
      <w:lang w:val="en-US" w:eastAsia="zh-CN"/>
    </w:rPr>
  </w:style>
  <w:style w:type="character" w:customStyle="1" w:styleId="174">
    <w:name w:val="正文缩进 Char1"/>
    <w:link w:val="175"/>
    <w:qFormat/>
    <w:uiPriority w:val="0"/>
    <w:rPr>
      <w:rFonts w:ascii="Times New Roman" w:hAnsi="Times New Roman" w:eastAsia="宋体"/>
      <w:kern w:val="0"/>
      <w:sz w:val="20"/>
    </w:rPr>
  </w:style>
  <w:style w:type="paragraph" w:customStyle="1" w:styleId="175">
    <w:name w:val="正文缩进1"/>
    <w:basedOn w:val="1"/>
    <w:link w:val="174"/>
    <w:qFormat/>
    <w:uiPriority w:val="0"/>
    <w:pPr>
      <w:ind w:firstLine="420"/>
    </w:pPr>
    <w:rPr>
      <w:kern w:val="0"/>
      <w:sz w:val="20"/>
    </w:rPr>
  </w:style>
  <w:style w:type="character" w:customStyle="1" w:styleId="176">
    <w:name w:val="新图表正文 Char Char"/>
    <w:link w:val="177"/>
    <w:qFormat/>
    <w:uiPriority w:val="0"/>
    <w:rPr>
      <w:rFonts w:ascii="宋体" w:hAnsi="宋体"/>
      <w:kern w:val="2"/>
      <w:sz w:val="18"/>
      <w:szCs w:val="21"/>
      <w:lang w:val="en-US" w:eastAsia="zh-CN" w:bidi="ar-SA"/>
    </w:rPr>
  </w:style>
  <w:style w:type="paragraph" w:customStyle="1" w:styleId="177">
    <w:name w:val="新图表正文"/>
    <w:link w:val="176"/>
    <w:qFormat/>
    <w:uiPriority w:val="0"/>
    <w:pPr>
      <w:jc w:val="both"/>
    </w:pPr>
    <w:rPr>
      <w:rFonts w:ascii="宋体" w:hAnsi="宋体" w:eastAsia="宋体" w:cs="Times New Roman"/>
      <w:kern w:val="2"/>
      <w:sz w:val="18"/>
      <w:szCs w:val="21"/>
      <w:lang w:val="en-US" w:eastAsia="zh-CN" w:bidi="ar-SA"/>
    </w:rPr>
  </w:style>
  <w:style w:type="character" w:customStyle="1" w:styleId="178">
    <w:name w:val="样式 首行缩进:  2 字符 Char Char Char"/>
    <w:qFormat/>
    <w:uiPriority w:val="0"/>
    <w:rPr>
      <w:rFonts w:eastAsia="宋体"/>
      <w:kern w:val="2"/>
      <w:sz w:val="24"/>
      <w:lang w:val="en-US" w:eastAsia="zh-CN"/>
    </w:rPr>
  </w:style>
  <w:style w:type="character" w:customStyle="1" w:styleId="179">
    <w:name w:val="Intense Quote Char1"/>
    <w:basedOn w:val="62"/>
    <w:link w:val="180"/>
    <w:qFormat/>
    <w:uiPriority w:val="0"/>
    <w:rPr>
      <w:rFonts w:ascii="Times New Roman" w:hAnsi="Times New Roman"/>
      <w:b/>
      <w:bCs/>
      <w:i/>
      <w:iCs/>
      <w:color w:val="4F81BD"/>
      <w:kern w:val="2"/>
      <w:sz w:val="21"/>
    </w:rPr>
  </w:style>
  <w:style w:type="paragraph" w:customStyle="1" w:styleId="180">
    <w:name w:val="明显引用1"/>
    <w:basedOn w:val="1"/>
    <w:next w:val="1"/>
    <w:link w:val="179"/>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1">
    <w:name w:val="Char Char20"/>
    <w:qFormat/>
    <w:uiPriority w:val="0"/>
    <w:rPr>
      <w:rFonts w:ascii="Arial" w:hAnsi="Arial" w:eastAsia="黑体"/>
      <w:kern w:val="2"/>
      <w:sz w:val="21"/>
    </w:rPr>
  </w:style>
  <w:style w:type="character" w:customStyle="1" w:styleId="182">
    <w:name w:val="No Spacing Char Char"/>
    <w:link w:val="183"/>
    <w:qFormat/>
    <w:uiPriority w:val="0"/>
    <w:rPr>
      <w:rFonts w:eastAsia="微软雅黑"/>
      <w:kern w:val="2"/>
      <w:sz w:val="24"/>
      <w:szCs w:val="22"/>
      <w:lang w:val="en-US" w:eastAsia="zh-CN" w:bidi="ar-SA"/>
    </w:rPr>
  </w:style>
  <w:style w:type="paragraph" w:customStyle="1" w:styleId="183">
    <w:name w:val="无间隔2"/>
    <w:link w:val="182"/>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4">
    <w:name w:val="小四 段落 宋体 Char Char Char Char Char Char"/>
    <w:qFormat/>
    <w:uiPriority w:val="0"/>
    <w:rPr>
      <w:rFonts w:eastAsia="宋体"/>
      <w:kern w:val="2"/>
      <w:sz w:val="24"/>
      <w:lang w:val="en-US" w:eastAsia="zh-CN"/>
    </w:rPr>
  </w:style>
  <w:style w:type="character" w:customStyle="1" w:styleId="185">
    <w:name w:val="3zw"/>
    <w:basedOn w:val="62"/>
    <w:qFormat/>
    <w:uiPriority w:val="0"/>
    <w:rPr>
      <w:rFonts w:cs="Times New Roman"/>
    </w:rPr>
  </w:style>
  <w:style w:type="character" w:customStyle="1" w:styleId="186">
    <w:name w:val="Intense Quote Char Char"/>
    <w:qFormat/>
    <w:uiPriority w:val="0"/>
    <w:rPr>
      <w:rFonts w:ascii="Calibri" w:hAnsi="Calibri"/>
      <w:b/>
      <w:i/>
      <w:sz w:val="22"/>
      <w:lang w:eastAsia="en-US"/>
    </w:rPr>
  </w:style>
  <w:style w:type="character" w:customStyle="1" w:styleId="187">
    <w:name w:val="Body Text Indent 3 Char"/>
    <w:qFormat/>
    <w:uiPriority w:val="0"/>
    <w:rPr>
      <w:rFonts w:ascii="Arial" w:hAnsi="Arial" w:eastAsia="仿宋_GB2312"/>
      <w:color w:val="FFFF00"/>
      <w:sz w:val="32"/>
    </w:rPr>
  </w:style>
  <w:style w:type="character" w:customStyle="1" w:styleId="188">
    <w:name w:val="A2"/>
    <w:qFormat/>
    <w:uiPriority w:val="0"/>
    <w:rPr>
      <w:color w:val="000000"/>
      <w:sz w:val="18"/>
    </w:rPr>
  </w:style>
  <w:style w:type="character" w:customStyle="1" w:styleId="189">
    <w:name w:val="标题 1 字符"/>
    <w:basedOn w:val="62"/>
    <w:link w:val="2"/>
    <w:qFormat/>
    <w:uiPriority w:val="0"/>
    <w:rPr>
      <w:rFonts w:ascii="黑体" w:hAnsi="Times New Roman" w:eastAsia="黑体" w:cs="Times New Roman"/>
      <w:b/>
      <w:kern w:val="44"/>
      <w:sz w:val="28"/>
      <w:szCs w:val="28"/>
    </w:rPr>
  </w:style>
  <w:style w:type="character" w:customStyle="1" w:styleId="190">
    <w:name w:val="明显参考1"/>
    <w:basedOn w:val="62"/>
    <w:qFormat/>
    <w:uiPriority w:val="0"/>
    <w:rPr>
      <w:smallCaps/>
      <w:spacing w:val="5"/>
      <w:u w:val="single"/>
    </w:rPr>
  </w:style>
  <w:style w:type="character" w:customStyle="1" w:styleId="191">
    <w:name w:val="称呼 字符"/>
    <w:basedOn w:val="62"/>
    <w:link w:val="21"/>
    <w:qFormat/>
    <w:uiPriority w:val="0"/>
    <w:rPr>
      <w:rFonts w:ascii="仿宋_GB2312" w:hAnsi="Times New Roman" w:eastAsia="仿宋_GB2312" w:cs="Times New Roman"/>
      <w:sz w:val="20"/>
      <w:szCs w:val="20"/>
    </w:rPr>
  </w:style>
  <w:style w:type="character" w:customStyle="1" w:styleId="192">
    <w:name w:val="111111 Char Char"/>
    <w:link w:val="193"/>
    <w:qFormat/>
    <w:uiPriority w:val="0"/>
    <w:rPr>
      <w:rFonts w:ascii="宋体" w:hAnsi="宋体" w:eastAsia="黑体"/>
      <w:b/>
      <w:sz w:val="21"/>
    </w:rPr>
  </w:style>
  <w:style w:type="paragraph" w:customStyle="1" w:styleId="193">
    <w:name w:val="111111"/>
    <w:basedOn w:val="1"/>
    <w:link w:val="192"/>
    <w:qFormat/>
    <w:uiPriority w:val="0"/>
    <w:pPr>
      <w:spacing w:before="120" w:after="120"/>
      <w:jc w:val="center"/>
    </w:pPr>
    <w:rPr>
      <w:rFonts w:ascii="宋体" w:hAnsi="宋体" w:eastAsia="黑体"/>
      <w:b/>
      <w:kern w:val="0"/>
    </w:rPr>
  </w:style>
  <w:style w:type="character" w:customStyle="1" w:styleId="194">
    <w:name w:val="小四 段落 宋体 Char1"/>
    <w:qFormat/>
    <w:uiPriority w:val="0"/>
    <w:rPr>
      <w:rFonts w:eastAsia="宋体"/>
      <w:kern w:val="2"/>
      <w:sz w:val="24"/>
      <w:lang w:val="en-US" w:eastAsia="zh-CN"/>
    </w:rPr>
  </w:style>
  <w:style w:type="character" w:customStyle="1" w:styleId="195">
    <w:name w:val="文档结构图 字符"/>
    <w:basedOn w:val="62"/>
    <w:link w:val="18"/>
    <w:qFormat/>
    <w:uiPriority w:val="0"/>
    <w:rPr>
      <w:rFonts w:ascii="Times New Roman" w:hAnsi="Times New Roman"/>
      <w:kern w:val="2"/>
      <w:sz w:val="16"/>
      <w:szCs w:val="0"/>
    </w:rPr>
  </w:style>
  <w:style w:type="character" w:customStyle="1" w:styleId="196">
    <w:name w:val="title_emph1"/>
    <w:qFormat/>
    <w:uiPriority w:val="0"/>
    <w:rPr>
      <w:rFonts w:ascii="Arial"/>
      <w:b/>
      <w:sz w:val="18"/>
    </w:rPr>
  </w:style>
  <w:style w:type="character" w:customStyle="1" w:styleId="197">
    <w:name w:val="页脚 字符"/>
    <w:basedOn w:val="62"/>
    <w:link w:val="36"/>
    <w:qFormat/>
    <w:uiPriority w:val="0"/>
    <w:rPr>
      <w:rFonts w:cs="Times New Roman"/>
      <w:sz w:val="18"/>
      <w:szCs w:val="18"/>
    </w:rPr>
  </w:style>
  <w:style w:type="character" w:customStyle="1" w:styleId="198">
    <w:name w:val="书籍标题1"/>
    <w:basedOn w:val="62"/>
    <w:qFormat/>
    <w:uiPriority w:val="0"/>
    <w:rPr>
      <w:i/>
      <w:smallCaps/>
      <w:spacing w:val="5"/>
    </w:rPr>
  </w:style>
  <w:style w:type="character" w:customStyle="1" w:styleId="199">
    <w:name w:val="不明显参考1"/>
    <w:basedOn w:val="62"/>
    <w:qFormat/>
    <w:uiPriority w:val="0"/>
    <w:rPr>
      <w:smallCaps/>
    </w:rPr>
  </w:style>
  <w:style w:type="character" w:customStyle="1" w:styleId="200">
    <w:name w:val="样式 首行缩进:  2 字符 Char Char"/>
    <w:link w:val="201"/>
    <w:qFormat/>
    <w:uiPriority w:val="0"/>
    <w:rPr>
      <w:sz w:val="24"/>
    </w:rPr>
  </w:style>
  <w:style w:type="paragraph" w:customStyle="1" w:styleId="201">
    <w:name w:val="样式 首行缩进:  2 字符"/>
    <w:basedOn w:val="1"/>
    <w:link w:val="200"/>
    <w:qFormat/>
    <w:uiPriority w:val="0"/>
    <w:pPr>
      <w:spacing w:line="360" w:lineRule="auto"/>
      <w:ind w:firstLine="480" w:firstLineChars="200"/>
    </w:pPr>
    <w:rPr>
      <w:rFonts w:ascii="Calibri" w:hAnsi="Calibri"/>
      <w:kern w:val="0"/>
      <w:sz w:val="24"/>
    </w:rPr>
  </w:style>
  <w:style w:type="character" w:customStyle="1" w:styleId="202">
    <w:name w:val="标题 3 字符"/>
    <w:basedOn w:val="62"/>
    <w:link w:val="5"/>
    <w:qFormat/>
    <w:uiPriority w:val="0"/>
    <w:rPr>
      <w:rFonts w:ascii="宋体" w:hAnsi="宋体" w:eastAsia="宋体"/>
      <w:b/>
      <w:sz w:val="28"/>
      <w:shd w:val="clear" w:color="auto" w:fill="FFFFFF"/>
    </w:rPr>
  </w:style>
  <w:style w:type="character" w:customStyle="1" w:styleId="203">
    <w:name w:val="Char Char22"/>
    <w:qFormat/>
    <w:uiPriority w:val="0"/>
    <w:rPr>
      <w:b/>
      <w:kern w:val="2"/>
      <w:sz w:val="24"/>
    </w:rPr>
  </w:style>
  <w:style w:type="character" w:customStyle="1" w:styleId="204">
    <w:name w:val="批注框文本 字符"/>
    <w:basedOn w:val="62"/>
    <w:link w:val="35"/>
    <w:qFormat/>
    <w:uiPriority w:val="0"/>
    <w:rPr>
      <w:rFonts w:ascii="Times New Roman" w:hAnsi="Times New Roman" w:eastAsia="宋体" w:cs="Times New Roman"/>
      <w:sz w:val="18"/>
      <w:szCs w:val="18"/>
    </w:rPr>
  </w:style>
  <w:style w:type="character" w:customStyle="1" w:styleId="205">
    <w:name w:val="尾注文本 字符"/>
    <w:basedOn w:val="62"/>
    <w:link w:val="34"/>
    <w:qFormat/>
    <w:uiPriority w:val="0"/>
    <w:rPr>
      <w:rFonts w:ascii="Times New Roman" w:hAnsi="Times New Roman" w:eastAsia="宋体" w:cs="Times New Roman"/>
      <w:kern w:val="0"/>
      <w:sz w:val="24"/>
      <w:szCs w:val="24"/>
    </w:rPr>
  </w:style>
  <w:style w:type="character" w:customStyle="1" w:styleId="206">
    <w:name w:val="point_normal1"/>
    <w:qFormat/>
    <w:uiPriority w:val="0"/>
    <w:rPr>
      <w:rFonts w:ascii="Arial" w:hAnsi="Arial"/>
      <w:sz w:val="18"/>
    </w:rPr>
  </w:style>
  <w:style w:type="character" w:customStyle="1" w:styleId="207">
    <w:name w:val="Char Char26"/>
    <w:qFormat/>
    <w:uiPriority w:val="0"/>
    <w:rPr>
      <w:b/>
      <w:kern w:val="2"/>
      <w:sz w:val="32"/>
    </w:rPr>
  </w:style>
  <w:style w:type="character" w:customStyle="1" w:styleId="208">
    <w:name w:val="Char Char24"/>
    <w:qFormat/>
    <w:uiPriority w:val="0"/>
    <w:rPr>
      <w:b/>
      <w:kern w:val="2"/>
      <w:sz w:val="28"/>
    </w:rPr>
  </w:style>
  <w:style w:type="character" w:customStyle="1" w:styleId="209">
    <w:name w:val="concon"/>
    <w:qFormat/>
    <w:uiPriority w:val="0"/>
  </w:style>
  <w:style w:type="paragraph" w:customStyle="1" w:styleId="210">
    <w:name w:val="标准文本"/>
    <w:basedOn w:val="1"/>
    <w:qFormat/>
    <w:uiPriority w:val="0"/>
    <w:pPr>
      <w:spacing w:line="360" w:lineRule="auto"/>
      <w:ind w:firstLine="480" w:firstLineChars="200"/>
    </w:pPr>
    <w:rPr>
      <w:rFonts w:cs="宋体"/>
      <w:sz w:val="24"/>
      <w:szCs w:val="24"/>
    </w:rPr>
  </w:style>
  <w:style w:type="paragraph" w:customStyle="1" w:styleId="211">
    <w:name w:val="Char Char Char Char Char Char Char Char Char Char Char Char Char1"/>
    <w:basedOn w:val="1"/>
    <w:qFormat/>
    <w:uiPriority w:val="0"/>
    <w:pPr>
      <w:widowControl/>
      <w:spacing w:after="160" w:line="240" w:lineRule="exact"/>
      <w:jc w:val="left"/>
    </w:pPr>
    <w:rPr>
      <w:szCs w:val="24"/>
    </w:rPr>
  </w:style>
  <w:style w:type="paragraph" w:customStyle="1" w:styleId="212">
    <w:name w:val="列出段落2"/>
    <w:basedOn w:val="1"/>
    <w:qFormat/>
    <w:uiPriority w:val="0"/>
    <w:pPr>
      <w:widowControl/>
      <w:ind w:left="720"/>
      <w:jc w:val="left"/>
    </w:pPr>
    <w:rPr>
      <w:rFonts w:ascii="Arial" w:hAnsi="Arial" w:eastAsia="黑体" w:cs="Arial"/>
      <w:kern w:val="0"/>
      <w:sz w:val="24"/>
      <w:szCs w:val="24"/>
      <w:lang w:eastAsia="en-US"/>
    </w:rPr>
  </w:style>
  <w:style w:type="paragraph" w:customStyle="1" w:styleId="213">
    <w:name w:val="flType"/>
    <w:basedOn w:val="214"/>
    <w:qFormat/>
    <w:uiPriority w:val="0"/>
    <w:pPr>
      <w:spacing w:after="284"/>
    </w:pPr>
    <w:rPr>
      <w:rFonts w:eastAsia="宋体"/>
      <w:b w:val="0"/>
    </w:rPr>
  </w:style>
  <w:style w:type="paragraph" w:customStyle="1" w:styleId="214">
    <w:name w:val="flName"/>
    <w:basedOn w:val="215"/>
    <w:qFormat/>
    <w:uiPriority w:val="0"/>
    <w:pPr>
      <w:spacing w:before="0" w:line="113" w:lineRule="atLeast"/>
    </w:pPr>
  </w:style>
  <w:style w:type="paragraph" w:customStyle="1" w:styleId="215">
    <w:name w:val="flNote"/>
    <w:basedOn w:val="1"/>
    <w:qFormat/>
    <w:uiPriority w:val="0"/>
    <w:pPr>
      <w:adjustRightInd w:val="0"/>
      <w:spacing w:before="567" w:line="360" w:lineRule="atLeast"/>
      <w:jc w:val="center"/>
      <w:textAlignment w:val="baseline"/>
    </w:pPr>
    <w:rPr>
      <w:rFonts w:eastAsia="黑体"/>
      <w:b/>
      <w:kern w:val="0"/>
      <w:sz w:val="24"/>
    </w:rPr>
  </w:style>
  <w:style w:type="paragraph" w:customStyle="1" w:styleId="216">
    <w:name w:val="华宇段落1 Char"/>
    <w:basedOn w:val="1"/>
    <w:qFormat/>
    <w:uiPriority w:val="0"/>
    <w:pPr>
      <w:spacing w:line="360" w:lineRule="auto"/>
      <w:ind w:firstLine="200" w:firstLineChars="200"/>
    </w:pPr>
    <w:rPr>
      <w:bCs/>
      <w:sz w:val="24"/>
      <w:szCs w:val="24"/>
    </w:rPr>
  </w:style>
  <w:style w:type="paragraph" w:customStyle="1" w:styleId="217">
    <w:name w:val="正文缩进2字符"/>
    <w:basedOn w:val="1"/>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18">
    <w:name w:val="Char Char Char Char Char Char Char Char Char"/>
    <w:basedOn w:val="1"/>
    <w:qFormat/>
    <w:uiPriority w:val="0"/>
    <w:pPr>
      <w:tabs>
        <w:tab w:val="left" w:pos="360"/>
      </w:tabs>
      <w:ind w:left="200" w:hanging="200" w:hangingChars="200"/>
    </w:pPr>
    <w:rPr>
      <w:sz w:val="24"/>
      <w:szCs w:val="24"/>
    </w:rPr>
  </w:style>
  <w:style w:type="paragraph" w:customStyle="1" w:styleId="219">
    <w:name w:val="greytypebeni"/>
    <w:basedOn w:val="1"/>
    <w:qFormat/>
    <w:uiPriority w:val="0"/>
    <w:pPr>
      <w:widowControl/>
      <w:jc w:val="left"/>
    </w:pPr>
    <w:rPr>
      <w:rFonts w:ascii="宋体" w:hAnsi="宋体" w:cs="宋体"/>
      <w:kern w:val="0"/>
      <w:sz w:val="24"/>
      <w:szCs w:val="24"/>
    </w:rPr>
  </w:style>
  <w:style w:type="paragraph" w:customStyle="1" w:styleId="220">
    <w:name w:val="Char Char1 Char Char Char Char1 Char Char Char Char Char Char"/>
    <w:basedOn w:val="1"/>
    <w:qFormat/>
    <w:uiPriority w:val="0"/>
    <w:rPr>
      <w:rFonts w:ascii="Tahoma" w:hAnsi="Tahoma"/>
      <w:sz w:val="24"/>
    </w:rPr>
  </w:style>
  <w:style w:type="paragraph" w:customStyle="1" w:styleId="221">
    <w:name w:val="样式 样式 标题 3H3sect1.2.3BOD 0Heading 3 - oldh3l3CTLevel 3 Head... +..."/>
    <w:basedOn w:val="1"/>
    <w:qFormat/>
    <w:uiPriority w:val="0"/>
    <w:pPr>
      <w:keepNext/>
      <w:keepLines/>
      <w:spacing w:beforeLines="50" w:afterLines="50"/>
      <w:jc w:val="left"/>
      <w:outlineLvl w:val="2"/>
    </w:pPr>
    <w:rPr>
      <w:rFonts w:cs="宋体"/>
      <w:b/>
      <w:bCs/>
      <w:sz w:val="24"/>
    </w:rPr>
  </w:style>
  <w:style w:type="paragraph" w:customStyle="1" w:styleId="222">
    <w:name w:val="Char Char1"/>
    <w:basedOn w:val="1"/>
    <w:qFormat/>
    <w:uiPriority w:val="0"/>
    <w:rPr>
      <w:rFonts w:ascii="Tahoma" w:hAnsi="Tahoma" w:cs="Tahoma"/>
      <w:sz w:val="24"/>
    </w:rPr>
  </w:style>
  <w:style w:type="paragraph" w:customStyle="1" w:styleId="223">
    <w:name w:val="小四 段落 宋体 Char Char Char"/>
    <w:basedOn w:val="16"/>
    <w:qFormat/>
    <w:uiPriority w:val="0"/>
    <w:pPr>
      <w:tabs>
        <w:tab w:val="clear" w:pos="2952"/>
      </w:tabs>
      <w:spacing w:line="360" w:lineRule="auto"/>
      <w:ind w:left="0" w:right="-33" w:firstLine="545" w:firstLineChars="227"/>
      <w:jc w:val="left"/>
    </w:pPr>
    <w:rPr>
      <w:sz w:val="24"/>
    </w:rPr>
  </w:style>
  <w:style w:type="paragraph" w:customStyle="1" w:styleId="224">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5">
    <w:name w:val="font13"/>
    <w:basedOn w:val="1"/>
    <w:qFormat/>
    <w:uiPriority w:val="0"/>
    <w:pPr>
      <w:widowControl/>
      <w:spacing w:before="100" w:beforeAutospacing="1" w:after="100" w:afterAutospacing="1"/>
      <w:jc w:val="left"/>
    </w:pPr>
    <w:rPr>
      <w:i/>
      <w:iCs/>
      <w:kern w:val="0"/>
      <w:sz w:val="36"/>
      <w:szCs w:val="36"/>
    </w:rPr>
  </w:style>
  <w:style w:type="paragraph" w:customStyle="1" w:styleId="226">
    <w:name w:val="中等深浅网格 1 - 强调文字颜色 21"/>
    <w:basedOn w:val="1"/>
    <w:qFormat/>
    <w:uiPriority w:val="0"/>
    <w:pPr>
      <w:ind w:firstLine="420" w:firstLineChars="200"/>
    </w:pPr>
    <w:rPr>
      <w:rFonts w:ascii="Calibri" w:hAnsi="Calibri"/>
      <w:szCs w:val="22"/>
    </w:rPr>
  </w:style>
  <w:style w:type="paragraph" w:customStyle="1" w:styleId="227">
    <w:name w:val="表格文字"/>
    <w:basedOn w:val="1"/>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228">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29">
    <w:name w:val="默认段落字体 Para Char Char Char Char Char Char Char Char Char1 Char Char Char Char Char Char Char"/>
    <w:basedOn w:val="18"/>
    <w:qFormat/>
    <w:uiPriority w:val="0"/>
  </w:style>
  <w:style w:type="paragraph" w:customStyle="1" w:styleId="230">
    <w:name w:val="样式 样式 首行缩进:  2 字符 + 行距: 1.5 倍行距"/>
    <w:basedOn w:val="1"/>
    <w:qFormat/>
    <w:uiPriority w:val="0"/>
    <w:pPr>
      <w:spacing w:line="360" w:lineRule="auto"/>
      <w:ind w:firstLine="470" w:firstLineChars="196"/>
    </w:pPr>
    <w:rPr>
      <w:sz w:val="24"/>
    </w:rPr>
  </w:style>
  <w:style w:type="paragraph" w:customStyle="1" w:styleId="231">
    <w:name w:val="正文11"/>
    <w:basedOn w:val="1"/>
    <w:next w:val="1"/>
    <w:qFormat/>
    <w:uiPriority w:val="0"/>
    <w:pPr>
      <w:spacing w:before="156" w:line="360" w:lineRule="auto"/>
      <w:ind w:firstLine="510" w:firstLineChars="200"/>
    </w:pPr>
    <w:rPr>
      <w:sz w:val="24"/>
    </w:rPr>
  </w:style>
  <w:style w:type="paragraph" w:customStyle="1" w:styleId="232">
    <w:name w:val="Pa5"/>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3">
    <w:name w:val="Char Char11"/>
    <w:basedOn w:val="1"/>
    <w:qFormat/>
    <w:uiPriority w:val="0"/>
    <w:rPr>
      <w:rFonts w:ascii="Tahoma" w:hAnsi="Tahoma"/>
      <w:sz w:val="24"/>
    </w:rPr>
  </w:style>
  <w:style w:type="paragraph" w:customStyle="1" w:styleId="234">
    <w:name w:val="丁华正文"/>
    <w:basedOn w:val="46"/>
    <w:qFormat/>
    <w:uiPriority w:val="0"/>
    <w:pPr>
      <w:adjustRightInd w:val="0"/>
      <w:snapToGrid w:val="0"/>
      <w:spacing w:line="360" w:lineRule="auto"/>
      <w:ind w:left="0" w:firstLine="510"/>
    </w:pPr>
    <w:rPr>
      <w:sz w:val="24"/>
    </w:rPr>
  </w:style>
  <w:style w:type="paragraph" w:customStyle="1" w:styleId="235">
    <w:name w:val="正文 居中"/>
    <w:basedOn w:val="1"/>
    <w:qFormat/>
    <w:uiPriority w:val="0"/>
    <w:pPr>
      <w:spacing w:line="360" w:lineRule="auto"/>
      <w:jc w:val="center"/>
    </w:pPr>
    <w:rPr>
      <w:sz w:val="24"/>
    </w:rPr>
  </w:style>
  <w:style w:type="paragraph" w:customStyle="1" w:styleId="236">
    <w:name w:val="Char Char3"/>
    <w:basedOn w:val="1"/>
    <w:qFormat/>
    <w:uiPriority w:val="0"/>
    <w:rPr>
      <w:rFonts w:ascii="Tahoma" w:hAnsi="Tahoma" w:cs="Tahoma"/>
      <w:sz w:val="24"/>
    </w:rPr>
  </w:style>
  <w:style w:type="paragraph" w:customStyle="1" w:styleId="237">
    <w:name w:val="Char Char Char Char Char"/>
    <w:basedOn w:val="1"/>
    <w:qFormat/>
    <w:uiPriority w:val="0"/>
    <w:rPr>
      <w:rFonts w:ascii="Tahoma" w:hAnsi="Tahoma"/>
      <w:sz w:val="24"/>
    </w:rPr>
  </w:style>
  <w:style w:type="paragraph" w:customStyle="1" w:styleId="238">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39">
    <w:name w:val="Char Char1 Char Char Char Char Char Char Char"/>
    <w:basedOn w:val="1"/>
    <w:qFormat/>
    <w:uiPriority w:val="0"/>
    <w:rPr>
      <w:rFonts w:ascii="Tahoma" w:hAnsi="Tahoma" w:cs="Tahoma"/>
      <w:sz w:val="24"/>
    </w:rPr>
  </w:style>
  <w:style w:type="paragraph" w:customStyle="1" w:styleId="240">
    <w:name w:val="样式"/>
    <w:basedOn w:val="1"/>
    <w:qFormat/>
    <w:uiPriority w:val="0"/>
    <w:pPr>
      <w:autoSpaceDE w:val="0"/>
      <w:autoSpaceDN w:val="0"/>
      <w:snapToGrid w:val="0"/>
      <w:spacing w:before="120" w:after="120" w:line="360" w:lineRule="auto"/>
    </w:pPr>
    <w:rPr>
      <w:rFonts w:ascii="宋体"/>
      <w:sz w:val="24"/>
    </w:rPr>
  </w:style>
  <w:style w:type="paragraph" w:customStyle="1" w:styleId="241">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2">
    <w:name w:val="Char Char1 Char Char Char Char"/>
    <w:basedOn w:val="18"/>
    <w:qFormat/>
    <w:uiPriority w:val="0"/>
    <w:pPr>
      <w:adjustRightInd w:val="0"/>
      <w:spacing w:line="436" w:lineRule="exact"/>
      <w:ind w:left="357"/>
      <w:jc w:val="left"/>
      <w:outlineLvl w:val="3"/>
    </w:pPr>
    <w:rPr>
      <w:rFonts w:ascii="Tahoma" w:hAnsi="Tahoma" w:cs="Tahoma"/>
      <w:b/>
      <w:sz w:val="24"/>
      <w:szCs w:val="24"/>
    </w:rPr>
  </w:style>
  <w:style w:type="paragraph" w:customStyle="1" w:styleId="243">
    <w:name w:val="标准小四"/>
    <w:basedOn w:val="1"/>
    <w:qFormat/>
    <w:uiPriority w:val="0"/>
    <w:pPr>
      <w:spacing w:line="360" w:lineRule="auto"/>
      <w:ind w:firstLine="480" w:firstLineChars="200"/>
    </w:pPr>
    <w:rPr>
      <w:rFonts w:ascii="Arial" w:hAnsi="Arial"/>
      <w:sz w:val="24"/>
      <w:szCs w:val="21"/>
    </w:rPr>
  </w:style>
  <w:style w:type="paragraph" w:customStyle="1" w:styleId="24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5">
    <w:name w:val="Char Char Char Char Char Char Char1"/>
    <w:basedOn w:val="1"/>
    <w:qFormat/>
    <w:uiPriority w:val="0"/>
    <w:rPr>
      <w:rFonts w:ascii="Tahoma" w:hAnsi="Tahoma"/>
      <w:sz w:val="24"/>
    </w:rPr>
  </w:style>
  <w:style w:type="paragraph" w:customStyle="1" w:styleId="24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8">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49">
    <w:name w:val="默认段落字体 Para Char"/>
    <w:basedOn w:val="1"/>
    <w:qFormat/>
    <w:uiPriority w:val="0"/>
    <w:rPr>
      <w:sz w:val="24"/>
      <w:szCs w:val="24"/>
    </w:rPr>
  </w:style>
  <w:style w:type="paragraph" w:customStyle="1" w:styleId="250">
    <w:name w:val="列出段落11"/>
    <w:basedOn w:val="1"/>
    <w:qFormat/>
    <w:uiPriority w:val="0"/>
    <w:pPr>
      <w:widowControl/>
      <w:ind w:left="720"/>
      <w:contextualSpacing/>
      <w:jc w:val="left"/>
    </w:pPr>
    <w:rPr>
      <w:rFonts w:ascii="Arial" w:hAnsi="Arial" w:eastAsia="黑体"/>
      <w:kern w:val="0"/>
      <w:sz w:val="24"/>
      <w:szCs w:val="24"/>
      <w:lang w:eastAsia="en-US"/>
    </w:rPr>
  </w:style>
  <w:style w:type="paragraph" w:customStyle="1" w:styleId="251">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2">
    <w:name w:val="标题1，章节第一层"/>
    <w:basedOn w:val="253"/>
    <w:next w:val="253"/>
    <w:qFormat/>
    <w:uiPriority w:val="0"/>
    <w:pPr>
      <w:tabs>
        <w:tab w:val="left" w:pos="693"/>
      </w:tabs>
      <w:ind w:left="482"/>
      <w:outlineLvl w:val="0"/>
    </w:pPr>
    <w:rPr>
      <w:color w:val="000000"/>
      <w:sz w:val="24"/>
      <w:szCs w:val="24"/>
    </w:rPr>
  </w:style>
  <w:style w:type="paragraph" w:customStyle="1" w:styleId="25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4">
    <w:name w:val="Char Char Char Char Char Char Char Char Char Char Char Char Char Char Char Char Char Char Char Char Char Char Char1"/>
    <w:basedOn w:val="1"/>
    <w:qFormat/>
    <w:uiPriority w:val="0"/>
    <w:rPr>
      <w:rFonts w:ascii="Tahoma" w:hAnsi="Tahoma" w:cs="Tahoma"/>
      <w:sz w:val="24"/>
    </w:rPr>
  </w:style>
  <w:style w:type="paragraph" w:customStyle="1" w:styleId="255">
    <w:name w:val="正文表标题"/>
    <w:next w:val="247"/>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6">
    <w:name w:val="默认段落字体 Para Char Char Char Char Char Char Char"/>
    <w:basedOn w:val="1"/>
    <w:qFormat/>
    <w:uiPriority w:val="0"/>
  </w:style>
  <w:style w:type="paragraph" w:customStyle="1" w:styleId="257">
    <w:name w:val="Char Char Char1"/>
    <w:basedOn w:val="18"/>
    <w:qFormat/>
    <w:uiPriority w:val="0"/>
    <w:pPr>
      <w:spacing w:line="436" w:lineRule="exact"/>
    </w:pPr>
    <w:rPr>
      <w:szCs w:val="24"/>
    </w:rPr>
  </w:style>
  <w:style w:type="paragraph" w:customStyle="1" w:styleId="258">
    <w:name w:val="表格1"/>
    <w:basedOn w:val="1"/>
    <w:qFormat/>
    <w:uiPriority w:val="0"/>
    <w:pPr>
      <w:adjustRightInd w:val="0"/>
      <w:textAlignment w:val="baseline"/>
    </w:pPr>
    <w:rPr>
      <w:rFonts w:ascii="宋体"/>
      <w:kern w:val="24"/>
      <w:szCs w:val="21"/>
    </w:rPr>
  </w:style>
  <w:style w:type="paragraph" w:customStyle="1" w:styleId="259">
    <w:name w:val="项目符号：一级"/>
    <w:basedOn w:val="253"/>
    <w:next w:val="253"/>
    <w:qFormat/>
    <w:uiPriority w:val="0"/>
    <w:pPr>
      <w:ind w:right="-134" w:rightChars="-64"/>
    </w:pPr>
    <w:rPr>
      <w:bCs w:val="0"/>
    </w:rPr>
  </w:style>
  <w:style w:type="paragraph" w:customStyle="1" w:styleId="26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1">
    <w:name w:val="Char1 Char Char Char1"/>
    <w:basedOn w:val="1"/>
    <w:qFormat/>
    <w:uiPriority w:val="0"/>
    <w:rPr>
      <w:rFonts w:ascii="Tahoma" w:hAnsi="Tahoma" w:cs="Tahoma"/>
      <w:sz w:val="24"/>
    </w:rPr>
  </w:style>
  <w:style w:type="paragraph" w:customStyle="1" w:styleId="262">
    <w:name w:val="样式 标题 2第一章 标题 2Heading 2 HiddenHeading 2 CCBSheading 2H2h2..."/>
    <w:basedOn w:val="3"/>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3">
    <w:name w:val="正文文本缩进1"/>
    <w:basedOn w:val="1"/>
    <w:qFormat/>
    <w:uiPriority w:val="0"/>
    <w:pPr>
      <w:spacing w:after="120"/>
      <w:ind w:left="420" w:leftChars="200"/>
    </w:pPr>
    <w:rPr>
      <w:szCs w:val="24"/>
    </w:rPr>
  </w:style>
  <w:style w:type="paragraph" w:customStyle="1" w:styleId="264">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5">
    <w:name w:val="表格"/>
    <w:basedOn w:val="1"/>
    <w:qFormat/>
    <w:uiPriority w:val="0"/>
    <w:pPr>
      <w:snapToGrid w:val="0"/>
      <w:ind w:firstLine="21" w:firstLineChars="21"/>
    </w:pPr>
    <w:rPr>
      <w:rFonts w:ascii="宋体" w:hAnsi="宋体" w:cs="宋体"/>
      <w:kern w:val="0"/>
      <w:sz w:val="20"/>
    </w:rPr>
  </w:style>
  <w:style w:type="paragraph" w:customStyle="1" w:styleId="266">
    <w:name w:val="Char Char Char Char Char Char Char"/>
    <w:basedOn w:val="1"/>
    <w:qFormat/>
    <w:uiPriority w:val="0"/>
    <w:pPr>
      <w:jc w:val="left"/>
    </w:pPr>
    <w:rPr>
      <w:rFonts w:ascii="Tahoma" w:hAnsi="Tahoma"/>
      <w:sz w:val="24"/>
    </w:rPr>
  </w:style>
  <w:style w:type="paragraph" w:customStyle="1" w:styleId="267">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68">
    <w:name w:val="表格内文字"/>
    <w:basedOn w:val="1"/>
    <w:qFormat/>
    <w:uiPriority w:val="0"/>
    <w:pPr>
      <w:spacing w:line="300" w:lineRule="atLeast"/>
    </w:pPr>
    <w:rPr>
      <w:sz w:val="18"/>
      <w:szCs w:val="24"/>
    </w:rPr>
  </w:style>
  <w:style w:type="paragraph" w:customStyle="1" w:styleId="269">
    <w:name w:val="样式3"/>
    <w:basedOn w:val="1"/>
    <w:next w:val="1"/>
    <w:qFormat/>
    <w:uiPriority w:val="0"/>
    <w:pPr>
      <w:spacing w:line="360" w:lineRule="auto"/>
    </w:pPr>
  </w:style>
  <w:style w:type="paragraph" w:customStyle="1" w:styleId="270">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1">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2">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3">
    <w:name w:val="符号与编号 Char"/>
    <w:basedOn w:val="1"/>
    <w:qFormat/>
    <w:uiPriority w:val="0"/>
    <w:pPr>
      <w:tabs>
        <w:tab w:val="left" w:pos="720"/>
      </w:tabs>
      <w:spacing w:afterLines="50" w:line="400" w:lineRule="atLeast"/>
      <w:ind w:left="720"/>
    </w:pPr>
    <w:rPr>
      <w:sz w:val="24"/>
      <w:szCs w:val="24"/>
    </w:rPr>
  </w:style>
  <w:style w:type="paragraph" w:customStyle="1" w:styleId="274">
    <w:name w:val="正文2"/>
    <w:basedOn w:val="1"/>
    <w:qFormat/>
    <w:uiPriority w:val="0"/>
    <w:pPr>
      <w:spacing w:before="156" w:line="360" w:lineRule="auto"/>
      <w:ind w:firstLine="510" w:firstLineChars="200"/>
    </w:pPr>
    <w:rPr>
      <w:sz w:val="24"/>
    </w:rPr>
  </w:style>
  <w:style w:type="paragraph" w:customStyle="1" w:styleId="275">
    <w:name w:val="content_lineheight"/>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276">
    <w:name w:val="章标题"/>
    <w:next w:val="247"/>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7">
    <w:name w:val="样式4 Char"/>
    <w:basedOn w:val="1"/>
    <w:qFormat/>
    <w:uiPriority w:val="0"/>
    <w:pPr>
      <w:widowControl/>
      <w:spacing w:line="360" w:lineRule="auto"/>
      <w:ind w:firstLine="480"/>
      <w:jc w:val="left"/>
    </w:pPr>
    <w:rPr>
      <w:rFonts w:cs="宋体"/>
      <w:color w:val="000000"/>
      <w:kern w:val="0"/>
      <w:sz w:val="24"/>
      <w:szCs w:val="24"/>
    </w:rPr>
  </w:style>
  <w:style w:type="paragraph" w:customStyle="1" w:styleId="278">
    <w:name w:val="Char1"/>
    <w:basedOn w:val="1"/>
    <w:qFormat/>
    <w:uiPriority w:val="0"/>
    <w:rPr>
      <w:rFonts w:ascii="仿宋_GB2312" w:hAnsi="宋体" w:eastAsia="仿宋_GB2312" w:cs="宋体"/>
      <w:b/>
      <w:sz w:val="32"/>
      <w:szCs w:val="32"/>
    </w:rPr>
  </w:style>
  <w:style w:type="paragraph" w:customStyle="1" w:styleId="279">
    <w:name w:val="Char Char Char Char Char Char Char Char Char Char Char1 Char Char Char1"/>
    <w:basedOn w:val="1"/>
    <w:qFormat/>
    <w:uiPriority w:val="0"/>
    <w:pPr>
      <w:ind w:firstLine="200" w:firstLineChars="200"/>
      <w:jc w:val="left"/>
    </w:pPr>
    <w:rPr>
      <w:rFonts w:ascii="Tahoma" w:hAnsi="Tahoma"/>
      <w:sz w:val="24"/>
      <w:szCs w:val="24"/>
    </w:rPr>
  </w:style>
  <w:style w:type="paragraph" w:customStyle="1" w:styleId="28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1">
    <w:name w:val="Char Char Char Char Char Char Char Char Char1"/>
    <w:basedOn w:val="1"/>
    <w:qFormat/>
    <w:uiPriority w:val="0"/>
    <w:pPr>
      <w:tabs>
        <w:tab w:val="left" w:pos="360"/>
      </w:tabs>
      <w:ind w:left="360" w:hanging="360" w:hangingChars="200"/>
    </w:pPr>
    <w:rPr>
      <w:sz w:val="24"/>
      <w:szCs w:val="24"/>
    </w:rPr>
  </w:style>
  <w:style w:type="paragraph" w:customStyle="1" w:styleId="282">
    <w:name w:val="xl61"/>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3">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4">
    <w:name w:val="标题3，章节第三层"/>
    <w:basedOn w:val="1"/>
    <w:next w:val="253"/>
    <w:qFormat/>
    <w:uiPriority w:val="0"/>
    <w:pPr>
      <w:adjustRightInd w:val="0"/>
      <w:snapToGrid w:val="0"/>
      <w:spacing w:before="78" w:line="300" w:lineRule="auto"/>
      <w:outlineLvl w:val="2"/>
    </w:pPr>
    <w:rPr>
      <w:rFonts w:ascii="Arial" w:hAnsi="Arial" w:eastAsia="华文细黑"/>
      <w:sz w:val="30"/>
      <w:szCs w:val="24"/>
    </w:rPr>
  </w:style>
  <w:style w:type="paragraph" w:customStyle="1" w:styleId="285">
    <w:name w:val="Char Char1 Char1"/>
    <w:basedOn w:val="1"/>
    <w:qFormat/>
    <w:uiPriority w:val="0"/>
    <w:pPr>
      <w:widowControl/>
      <w:spacing w:after="160" w:line="240" w:lineRule="exact"/>
      <w:jc w:val="left"/>
    </w:pPr>
    <w:rPr>
      <w:rFonts w:ascii="Verdana" w:hAnsi="Verdana"/>
      <w:kern w:val="0"/>
      <w:sz w:val="20"/>
      <w:lang w:eastAsia="en-US"/>
    </w:rPr>
  </w:style>
  <w:style w:type="paragraph" w:customStyle="1" w:styleId="286">
    <w:name w:val="一级标题"/>
    <w:basedOn w:val="1"/>
    <w:qFormat/>
    <w:uiPriority w:val="0"/>
    <w:pPr>
      <w:tabs>
        <w:tab w:val="left" w:pos="903"/>
      </w:tabs>
      <w:spacing w:line="360" w:lineRule="auto"/>
      <w:ind w:left="900" w:hanging="420"/>
    </w:pPr>
    <w:rPr>
      <w:rFonts w:ascii="Arial" w:hAnsi="Arial" w:cs="Arial"/>
      <w:sz w:val="24"/>
    </w:rPr>
  </w:style>
  <w:style w:type="paragraph" w:customStyle="1" w:styleId="287">
    <w:name w:val="xl6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88">
    <w:name w:val="Char Char Char Char Char Char Char Char Char Char Char Char Char Char Char Char Char Char Char Char Char1"/>
    <w:basedOn w:val="1"/>
    <w:qFormat/>
    <w:uiPriority w:val="0"/>
    <w:rPr>
      <w:rFonts w:ascii="Tahoma" w:hAnsi="Tahoma" w:cs="Tahoma"/>
      <w:sz w:val="24"/>
    </w:rPr>
  </w:style>
  <w:style w:type="paragraph" w:customStyle="1" w:styleId="289">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0">
    <w:name w:val="font11"/>
    <w:basedOn w:val="1"/>
    <w:qFormat/>
    <w:uiPriority w:val="0"/>
    <w:pPr>
      <w:widowControl/>
      <w:spacing w:before="100" w:beforeAutospacing="1" w:after="100" w:afterAutospacing="1"/>
      <w:jc w:val="left"/>
    </w:pPr>
    <w:rPr>
      <w:b/>
      <w:bCs/>
      <w:kern w:val="0"/>
      <w:sz w:val="18"/>
      <w:szCs w:val="18"/>
    </w:rPr>
  </w:style>
  <w:style w:type="paragraph" w:customStyle="1" w:styleId="29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2">
    <w:name w:val="标题 4宋体"/>
    <w:basedOn w:val="6"/>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4">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6">
    <w:name w:val="普通文字"/>
    <w:basedOn w:val="1"/>
    <w:next w:val="1"/>
    <w:qFormat/>
    <w:uiPriority w:val="0"/>
    <w:rPr>
      <w:rFonts w:ascii="宋体" w:hAnsi="宋体" w:cs="宋体"/>
      <w:kern w:val="0"/>
      <w:sz w:val="24"/>
      <w:u w:color="000000"/>
    </w:rPr>
  </w:style>
  <w:style w:type="paragraph" w:customStyle="1" w:styleId="29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98">
    <w:name w:val="font7"/>
    <w:basedOn w:val="1"/>
    <w:qFormat/>
    <w:uiPriority w:val="0"/>
    <w:pPr>
      <w:widowControl/>
      <w:spacing w:before="100" w:beforeAutospacing="1" w:after="100" w:afterAutospacing="1"/>
      <w:jc w:val="left"/>
    </w:pPr>
    <w:rPr>
      <w:rFonts w:ascii="宋体" w:hAnsi="宋体"/>
      <w:b/>
      <w:bCs/>
      <w:kern w:val="0"/>
      <w:sz w:val="24"/>
      <w:szCs w:val="24"/>
    </w:rPr>
  </w:style>
  <w:style w:type="paragraph" w:customStyle="1" w:styleId="299">
    <w:name w:val="标题3"/>
    <w:basedOn w:val="5"/>
    <w:qFormat/>
    <w:uiPriority w:val="0"/>
    <w:pPr>
      <w:keepNext w:val="0"/>
      <w:keepLines w:val="0"/>
      <w:spacing w:line="360" w:lineRule="auto"/>
    </w:pPr>
    <w:rPr>
      <w:rFonts w:eastAsia="仿宋_GB2312"/>
      <w:b w:val="0"/>
      <w:bCs/>
      <w:sz w:val="30"/>
      <w:szCs w:val="32"/>
    </w:rPr>
  </w:style>
  <w:style w:type="paragraph" w:customStyle="1" w:styleId="300">
    <w:name w:val="retrait3"/>
    <w:basedOn w:val="1"/>
    <w:qFormat/>
    <w:uiPriority w:val="0"/>
    <w:pPr>
      <w:widowControl/>
      <w:spacing w:before="20" w:after="20"/>
      <w:ind w:left="851"/>
      <w:jc w:val="left"/>
    </w:pPr>
    <w:rPr>
      <w:rFonts w:ascii="Arial" w:hAnsi="Arial"/>
      <w:kern w:val="0"/>
      <w:sz w:val="24"/>
      <w:lang w:val="en-GB"/>
    </w:rPr>
  </w:style>
  <w:style w:type="paragraph" w:customStyle="1" w:styleId="301">
    <w:name w:val="项目符号，一级"/>
    <w:basedOn w:val="253"/>
    <w:next w:val="253"/>
    <w:qFormat/>
    <w:uiPriority w:val="0"/>
    <w:pPr>
      <w:tabs>
        <w:tab w:val="left" w:pos="1320"/>
      </w:tabs>
      <w:spacing w:line="240" w:lineRule="atLeast"/>
      <w:ind w:left="376" w:leftChars="179" w:firstLine="0"/>
    </w:pPr>
    <w:rPr>
      <w:bCs w:val="0"/>
      <w:color w:val="000000"/>
      <w:szCs w:val="24"/>
    </w:rPr>
  </w:style>
  <w:style w:type="paragraph" w:customStyle="1" w:styleId="302">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3">
    <w:name w:val="正文文本 22"/>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4">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5">
    <w:name w:val="表头_5"/>
    <w:basedOn w:val="1"/>
    <w:qFormat/>
    <w:uiPriority w:val="0"/>
    <w:pPr>
      <w:adjustRightInd w:val="0"/>
      <w:spacing w:line="360" w:lineRule="auto"/>
      <w:textAlignment w:val="baseline"/>
    </w:pPr>
    <w:rPr>
      <w:b/>
      <w:bCs/>
      <w:sz w:val="28"/>
      <w:szCs w:val="21"/>
    </w:rPr>
  </w:style>
  <w:style w:type="paragraph" w:customStyle="1" w:styleId="30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7">
    <w:name w:val="_Style 42"/>
    <w:basedOn w:val="1"/>
    <w:next w:val="23"/>
    <w:qFormat/>
    <w:uiPriority w:val="0"/>
    <w:rPr>
      <w:rFonts w:ascii="楷体_GB2312" w:hAnsi="Arial" w:eastAsia="楷体_GB2312"/>
      <w:sz w:val="28"/>
    </w:rPr>
  </w:style>
  <w:style w:type="paragraph" w:customStyle="1" w:styleId="308">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09">
    <w:name w:val="Item List Char Char"/>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0">
    <w:name w:val="标题4，章节第四层"/>
    <w:basedOn w:val="1"/>
    <w:next w:val="1"/>
    <w:qFormat/>
    <w:uiPriority w:val="0"/>
    <w:pPr>
      <w:tabs>
        <w:tab w:val="left" w:pos="0"/>
      </w:tabs>
      <w:spacing w:line="360" w:lineRule="auto"/>
      <w:outlineLvl w:val="3"/>
    </w:pPr>
    <w:rPr>
      <w:rFonts w:ascii="宋体" w:hAnsi="宋体"/>
      <w:b/>
      <w:sz w:val="24"/>
      <w:szCs w:val="24"/>
    </w:rPr>
  </w:style>
  <w:style w:type="paragraph" w:customStyle="1" w:styleId="311">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2">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3">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4">
    <w:name w:val="Char Char Char Char Char Char Char Char Char Char Char Char Char"/>
    <w:basedOn w:val="18"/>
    <w:qFormat/>
    <w:uiPriority w:val="0"/>
    <w:rPr>
      <w:rFonts w:ascii="Tahoma" w:hAnsi="Tahoma"/>
      <w:sz w:val="24"/>
      <w:szCs w:val="24"/>
    </w:rPr>
  </w:style>
  <w:style w:type="paragraph" w:customStyle="1" w:styleId="315">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6">
    <w:name w:val="段落"/>
    <w:basedOn w:val="1"/>
    <w:qFormat/>
    <w:uiPriority w:val="0"/>
    <w:pPr>
      <w:spacing w:line="460" w:lineRule="exact"/>
      <w:ind w:firstLine="480"/>
    </w:pPr>
    <w:rPr>
      <w:sz w:val="24"/>
    </w:rPr>
  </w:style>
  <w:style w:type="paragraph" w:customStyle="1" w:styleId="317">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18">
    <w:name w:val="xl51"/>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19">
    <w:name w:val="7"/>
    <w:basedOn w:val="1"/>
    <w:next w:val="54"/>
    <w:qFormat/>
    <w:uiPriority w:val="0"/>
    <w:pPr>
      <w:widowControl/>
      <w:spacing w:before="100" w:beforeAutospacing="1" w:after="100" w:afterAutospacing="1"/>
      <w:jc w:val="left"/>
    </w:pPr>
    <w:rPr>
      <w:rFonts w:ascii="宋体" w:hAnsi="宋体"/>
      <w:kern w:val="0"/>
      <w:sz w:val="24"/>
    </w:rPr>
  </w:style>
  <w:style w:type="paragraph" w:customStyle="1" w:styleId="320">
    <w:name w:val="font9"/>
    <w:basedOn w:val="1"/>
    <w:qFormat/>
    <w:uiPriority w:val="0"/>
    <w:pPr>
      <w:widowControl/>
      <w:spacing w:before="100" w:beforeAutospacing="1" w:after="100" w:afterAutospacing="1"/>
      <w:jc w:val="left"/>
    </w:pPr>
    <w:rPr>
      <w:b/>
      <w:bCs/>
      <w:kern w:val="0"/>
      <w:sz w:val="20"/>
    </w:rPr>
  </w:style>
  <w:style w:type="paragraph" w:customStyle="1" w:styleId="321">
    <w:name w:val="xl55"/>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2">
    <w:name w:val="Char1 Char Char Char"/>
    <w:basedOn w:val="1"/>
    <w:qFormat/>
    <w:uiPriority w:val="0"/>
    <w:rPr>
      <w:rFonts w:ascii="Tahoma" w:hAnsi="Tahoma"/>
      <w:sz w:val="24"/>
    </w:rPr>
  </w:style>
  <w:style w:type="paragraph" w:customStyle="1" w:styleId="323">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4">
    <w:name w:val="样式2"/>
    <w:basedOn w:val="1"/>
    <w:qFormat/>
    <w:uiPriority w:val="0"/>
    <w:pPr>
      <w:spacing w:line="360" w:lineRule="auto"/>
      <w:ind w:left="200" w:leftChars="200"/>
    </w:pPr>
    <w:rPr>
      <w:rFonts w:ascii="宋体" w:hAnsi="宋体"/>
      <w:b/>
      <w:sz w:val="24"/>
      <w:szCs w:val="24"/>
    </w:rPr>
  </w:style>
  <w:style w:type="paragraph" w:customStyle="1" w:styleId="325">
    <w:name w:val="条1"/>
    <w:basedOn w:val="1"/>
    <w:qFormat/>
    <w:uiPriority w:val="0"/>
    <w:pPr>
      <w:tabs>
        <w:tab w:val="left" w:pos="780"/>
      </w:tabs>
      <w:spacing w:before="156" w:line="360" w:lineRule="auto"/>
      <w:ind w:left="780" w:hanging="360"/>
    </w:pPr>
    <w:rPr>
      <w:rFonts w:eastAsia="黑体"/>
      <w:sz w:val="24"/>
    </w:rPr>
  </w:style>
  <w:style w:type="paragraph" w:customStyle="1" w:styleId="326">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7">
    <w:name w:val="zw"/>
    <w:basedOn w:val="1"/>
    <w:qFormat/>
    <w:uiPriority w:val="0"/>
    <w:pPr>
      <w:widowControl/>
      <w:spacing w:line="360" w:lineRule="auto"/>
      <w:ind w:firstLine="480" w:firstLineChars="200"/>
      <w:jc w:val="left"/>
    </w:pPr>
    <w:rPr>
      <w:rFonts w:ascii="宋体" w:hAnsi="宋体"/>
      <w:bCs/>
      <w:kern w:val="0"/>
      <w:sz w:val="24"/>
    </w:rPr>
  </w:style>
  <w:style w:type="paragraph" w:customStyle="1" w:styleId="328">
    <w:name w:val="样式 加点正文 + 段前: 0.5 行 段后: 0.5 行1"/>
    <w:basedOn w:val="1"/>
    <w:qFormat/>
    <w:uiPriority w:val="0"/>
    <w:pPr>
      <w:numPr>
        <w:ilvl w:val="0"/>
        <w:numId w:val="1"/>
      </w:numPr>
      <w:tabs>
        <w:tab w:val="left" w:pos="1268"/>
      </w:tabs>
      <w:spacing w:beforeLines="50" w:afterLines="50" w:line="300" w:lineRule="auto"/>
      <w:ind w:left="1268"/>
    </w:pPr>
    <w:rPr>
      <w:sz w:val="24"/>
    </w:rPr>
  </w:style>
  <w:style w:type="paragraph" w:customStyle="1" w:styleId="329">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0">
    <w:name w:val="1"/>
    <w:basedOn w:val="1"/>
    <w:next w:val="52"/>
    <w:qFormat/>
    <w:uiPriority w:val="0"/>
    <w:pPr>
      <w:spacing w:line="360" w:lineRule="auto"/>
    </w:pPr>
    <w:rPr>
      <w:rFonts w:eastAsia="仿宋_GB2312"/>
      <w:sz w:val="24"/>
      <w:szCs w:val="24"/>
    </w:rPr>
  </w:style>
  <w:style w:type="paragraph" w:customStyle="1" w:styleId="331">
    <w:name w:val="正文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332">
    <w:name w:val="a"/>
    <w:basedOn w:val="1"/>
    <w:qFormat/>
    <w:uiPriority w:val="0"/>
    <w:pPr>
      <w:widowControl/>
      <w:spacing w:before="100" w:beforeAutospacing="1" w:after="100" w:afterAutospacing="1"/>
    </w:pPr>
    <w:rPr>
      <w:rFonts w:ascii="宋体" w:hAnsi="宋体" w:cs="宋体"/>
      <w:kern w:val="0"/>
      <w:sz w:val="24"/>
      <w:szCs w:val="24"/>
    </w:rPr>
  </w:style>
  <w:style w:type="paragraph" w:customStyle="1" w:styleId="33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34">
    <w:name w:val="小四 段落 宋体 Char"/>
    <w:basedOn w:val="16"/>
    <w:qFormat/>
    <w:uiPriority w:val="0"/>
    <w:pPr>
      <w:tabs>
        <w:tab w:val="clear" w:pos="2952"/>
      </w:tabs>
      <w:ind w:left="0" w:right="-33" w:firstLine="600" w:firstLineChars="200"/>
      <w:jc w:val="left"/>
    </w:pPr>
    <w:rPr>
      <w:rFonts w:ascii="仿宋_GB2312" w:eastAsia="仿宋_GB2312"/>
      <w:sz w:val="30"/>
      <w:szCs w:val="30"/>
    </w:rPr>
  </w:style>
  <w:style w:type="paragraph" w:customStyle="1" w:styleId="335">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6">
    <w:name w:val="a0"/>
    <w:basedOn w:val="1"/>
    <w:qFormat/>
    <w:uiPriority w:val="0"/>
    <w:pPr>
      <w:widowControl/>
      <w:spacing w:before="100" w:beforeAutospacing="1" w:after="100" w:afterAutospacing="1"/>
    </w:pPr>
    <w:rPr>
      <w:rFonts w:ascii="宋体" w:hAnsi="宋体" w:cs="宋体"/>
      <w:kern w:val="0"/>
      <w:sz w:val="24"/>
      <w:szCs w:val="24"/>
    </w:rPr>
  </w:style>
  <w:style w:type="paragraph" w:customStyle="1" w:styleId="337">
    <w:name w:val="公文正文"/>
    <w:basedOn w:val="24"/>
    <w:qFormat/>
    <w:uiPriority w:val="0"/>
    <w:pPr>
      <w:ind w:firstLine="200" w:firstLineChars="200"/>
    </w:pPr>
    <w:rPr>
      <w:rFonts w:ascii="仿宋_GB2312" w:hAnsi="宋体" w:eastAsia="仿宋_GB2312"/>
      <w:kern w:val="28"/>
      <w:sz w:val="28"/>
      <w:szCs w:val="24"/>
    </w:rPr>
  </w:style>
  <w:style w:type="paragraph" w:customStyle="1" w:styleId="338">
    <w:name w:val="马刚标题4"/>
    <w:basedOn w:val="339"/>
    <w:next w:val="1"/>
    <w:qFormat/>
    <w:uiPriority w:val="0"/>
    <w:pPr>
      <w:tabs>
        <w:tab w:val="left" w:pos="567"/>
        <w:tab w:val="left" w:pos="735"/>
        <w:tab w:val="left" w:pos="1050"/>
      </w:tabs>
      <w:spacing w:before="100" w:after="40"/>
      <w:outlineLvl w:val="3"/>
    </w:pPr>
    <w:rPr>
      <w:b w:val="0"/>
    </w:rPr>
  </w:style>
  <w:style w:type="paragraph" w:customStyle="1" w:styleId="339">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0">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1">
    <w:name w:val="font10"/>
    <w:basedOn w:val="1"/>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2">
    <w:name w:val="font1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43">
    <w:name w:val="Item Step in Tabl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4">
    <w:name w:val="丁华标题3"/>
    <w:basedOn w:val="345"/>
    <w:next w:val="234"/>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5">
    <w:name w:val="丁华标题2"/>
    <w:basedOn w:val="3"/>
    <w:next w:val="234"/>
    <w:qFormat/>
    <w:uiPriority w:val="0"/>
    <w:pPr>
      <w:numPr>
        <w:ilvl w:val="1"/>
        <w:numId w:val="3"/>
      </w:numPr>
      <w:spacing w:line="413" w:lineRule="auto"/>
    </w:pPr>
    <w:rPr>
      <w:rFonts w:ascii="Arial" w:hAnsi="Arial" w:eastAsia="黑体"/>
      <w:b w:val="0"/>
      <w:sz w:val="28"/>
      <w:szCs w:val="20"/>
    </w:rPr>
  </w:style>
  <w:style w:type="paragraph" w:customStyle="1" w:styleId="346">
    <w:name w:val="修订1"/>
    <w:qFormat/>
    <w:uiPriority w:val="0"/>
    <w:rPr>
      <w:rFonts w:ascii="Times New Roman" w:hAnsi="Times New Roman" w:eastAsia="宋体" w:cs="Times New Roman"/>
      <w:kern w:val="2"/>
      <w:sz w:val="21"/>
      <w:szCs w:val="24"/>
      <w:lang w:val="en-US" w:eastAsia="zh-CN" w:bidi="ar-SA"/>
    </w:rPr>
  </w:style>
  <w:style w:type="paragraph" w:customStyle="1" w:styleId="347">
    <w:name w:val="Char"/>
    <w:basedOn w:val="1"/>
    <w:qFormat/>
    <w:uiPriority w:val="0"/>
    <w:pPr>
      <w:spacing w:afterLines="50" w:line="360" w:lineRule="auto"/>
    </w:pPr>
    <w:rPr>
      <w:rFonts w:ascii="Tahoma" w:hAnsi="Tahoma"/>
      <w:sz w:val="24"/>
    </w:rPr>
  </w:style>
  <w:style w:type="paragraph" w:customStyle="1" w:styleId="348">
    <w:name w:val="项目符号，二级"/>
    <w:basedOn w:val="253"/>
    <w:next w:val="253"/>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49">
    <w:name w:val="_Style 1"/>
    <w:basedOn w:val="1"/>
    <w:qFormat/>
    <w:uiPriority w:val="0"/>
    <w:pPr>
      <w:ind w:firstLine="420" w:firstLineChars="200"/>
    </w:pPr>
    <w:rPr>
      <w:rFonts w:ascii="Calibri" w:hAnsi="Calibri"/>
      <w:szCs w:val="22"/>
    </w:rPr>
  </w:style>
  <w:style w:type="paragraph" w:customStyle="1" w:styleId="350">
    <w:name w:val="Char Char Char Char Char Char Char Char Char Char Char Char Char Char1"/>
    <w:basedOn w:val="1"/>
    <w:qFormat/>
    <w:uiPriority w:val="0"/>
    <w:rPr>
      <w:rFonts w:ascii="Tahoma" w:hAnsi="Tahoma" w:cs="Tahoma"/>
      <w:sz w:val="24"/>
    </w:rPr>
  </w:style>
  <w:style w:type="paragraph" w:customStyle="1" w:styleId="351">
    <w:name w:val="Char Char Char Char Char1"/>
    <w:basedOn w:val="1"/>
    <w:qFormat/>
    <w:uiPriority w:val="0"/>
    <w:rPr>
      <w:rFonts w:ascii="Tahoma" w:hAnsi="Tahoma" w:cs="Tahoma"/>
      <w:sz w:val="24"/>
    </w:rPr>
  </w:style>
  <w:style w:type="paragraph" w:customStyle="1" w:styleId="35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3">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4">
    <w:name w:val="符号与编号"/>
    <w:basedOn w:val="1"/>
    <w:qFormat/>
    <w:uiPriority w:val="0"/>
    <w:pPr>
      <w:tabs>
        <w:tab w:val="left" w:pos="900"/>
      </w:tabs>
      <w:spacing w:afterLines="50" w:line="400" w:lineRule="atLeast"/>
      <w:ind w:left="900" w:hanging="420"/>
    </w:pPr>
    <w:rPr>
      <w:sz w:val="24"/>
      <w:szCs w:val="24"/>
    </w:rPr>
  </w:style>
  <w:style w:type="paragraph" w:customStyle="1" w:styleId="355">
    <w:name w:val="样式1"/>
    <w:basedOn w:val="1"/>
    <w:qFormat/>
    <w:uiPriority w:val="0"/>
    <w:pPr>
      <w:spacing w:line="300" w:lineRule="auto"/>
      <w:ind w:firstLine="480" w:firstLineChars="200"/>
    </w:pPr>
    <w:rPr>
      <w:sz w:val="24"/>
      <w:szCs w:val="24"/>
    </w:rPr>
  </w:style>
  <w:style w:type="paragraph" w:customStyle="1" w:styleId="356">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7">
    <w:name w:val="xl53"/>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58">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59">
    <w:name w:val="正文 首行缩进:  2 字符 Char"/>
    <w:basedOn w:val="1"/>
    <w:qFormat/>
    <w:uiPriority w:val="0"/>
    <w:pPr>
      <w:spacing w:line="360" w:lineRule="auto"/>
      <w:ind w:firstLine="480"/>
    </w:pPr>
    <w:rPr>
      <w:rFonts w:cs="宋体"/>
      <w:sz w:val="24"/>
    </w:rPr>
  </w:style>
  <w:style w:type="paragraph" w:customStyle="1" w:styleId="360">
    <w:name w:val="Char2"/>
    <w:basedOn w:val="1"/>
    <w:qFormat/>
    <w:uiPriority w:val="0"/>
    <w:rPr>
      <w:rFonts w:ascii="Tahoma" w:hAnsi="Tahoma" w:cs="仿宋_GB2312"/>
      <w:sz w:val="24"/>
      <w:szCs w:val="28"/>
    </w:rPr>
  </w:style>
  <w:style w:type="paragraph" w:customStyle="1" w:styleId="361">
    <w:name w:val="正文文本 New New"/>
    <w:basedOn w:val="1"/>
    <w:qFormat/>
    <w:uiPriority w:val="0"/>
    <w:pPr>
      <w:widowControl/>
      <w:spacing w:before="60" w:after="60" w:line="360" w:lineRule="auto"/>
      <w:ind w:firstLine="200" w:firstLineChars="200"/>
    </w:pPr>
    <w:rPr>
      <w:rFonts w:eastAsia="华文楷体"/>
      <w:sz w:val="24"/>
      <w:szCs w:val="24"/>
    </w:rPr>
  </w:style>
  <w:style w:type="paragraph" w:customStyle="1" w:styleId="362">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3">
    <w:name w:val="正文 首行缩进:  2 字符 Char Char"/>
    <w:basedOn w:val="1"/>
    <w:qFormat/>
    <w:uiPriority w:val="0"/>
    <w:pPr>
      <w:spacing w:line="360" w:lineRule="auto"/>
      <w:ind w:firstLine="480"/>
    </w:pPr>
    <w:rPr>
      <w:rFonts w:ascii="楷体_GB2312" w:eastAsia="楷体_GB2312"/>
      <w:bCs/>
      <w:sz w:val="24"/>
      <w:szCs w:val="24"/>
    </w:rPr>
  </w:style>
  <w:style w:type="paragraph" w:customStyle="1" w:styleId="364">
    <w:name w:val="论文正文"/>
    <w:basedOn w:val="33"/>
    <w:qFormat/>
    <w:uiPriority w:val="0"/>
    <w:pPr>
      <w:spacing w:line="360" w:lineRule="auto"/>
      <w:ind w:left="0" w:firstLine="200" w:firstLineChars="200"/>
      <w:jc w:val="left"/>
    </w:pPr>
    <w:rPr>
      <w:sz w:val="28"/>
      <w:szCs w:val="24"/>
    </w:rPr>
  </w:style>
  <w:style w:type="paragraph" w:customStyle="1" w:styleId="365">
    <w:name w:val="列出段落3"/>
    <w:basedOn w:val="1"/>
    <w:qFormat/>
    <w:uiPriority w:val="0"/>
    <w:pPr>
      <w:ind w:firstLine="420" w:firstLineChars="200"/>
    </w:pPr>
    <w:rPr>
      <w:szCs w:val="24"/>
    </w:rPr>
  </w:style>
  <w:style w:type="paragraph" w:customStyle="1" w:styleId="366">
    <w:name w:val="丁华标题1"/>
    <w:basedOn w:val="2"/>
    <w:next w:val="234"/>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7">
    <w:name w:val="插图"/>
    <w:basedOn w:val="1"/>
    <w:qFormat/>
    <w:uiPriority w:val="0"/>
    <w:pPr>
      <w:tabs>
        <w:tab w:val="left" w:pos="1620"/>
      </w:tabs>
      <w:adjustRightInd w:val="0"/>
      <w:jc w:val="center"/>
    </w:pPr>
    <w:rPr>
      <w:bCs/>
      <w:color w:val="000000"/>
      <w:szCs w:val="22"/>
    </w:rPr>
  </w:style>
  <w:style w:type="paragraph" w:customStyle="1" w:styleId="368">
    <w:name w:val="Table Text Char"/>
    <w:qFormat/>
    <w:uiPriority w:val="0"/>
    <w:pPr>
      <w:snapToGrid w:val="0"/>
      <w:spacing w:before="80" w:after="80"/>
    </w:pPr>
    <w:rPr>
      <w:rFonts w:ascii="Arial" w:hAnsi="Arial" w:eastAsia="宋体" w:cs="Arial"/>
      <w:sz w:val="18"/>
      <w:szCs w:val="28"/>
      <w:lang w:val="en-US" w:eastAsia="zh-CN" w:bidi="ar-SA"/>
    </w:rPr>
  </w:style>
  <w:style w:type="paragraph" w:customStyle="1" w:styleId="369">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0">
    <w:name w:val="xl25"/>
    <w:basedOn w:val="1"/>
    <w:qFormat/>
    <w:uiPriority w:val="0"/>
    <w:pPr>
      <w:widowControl/>
      <w:pBdr>
        <w:right w:val="single" w:color="auto" w:sz="4" w:space="0"/>
      </w:pBdr>
      <w:spacing w:before="100" w:beforeAutospacing="1" w:after="100" w:afterAutospacing="1"/>
      <w:jc w:val="center"/>
    </w:pPr>
    <w:rPr>
      <w:kern w:val="0"/>
      <w:szCs w:val="21"/>
    </w:rPr>
  </w:style>
  <w:style w:type="paragraph" w:customStyle="1" w:styleId="371">
    <w:name w:val="标题2，章节第二层"/>
    <w:basedOn w:val="1"/>
    <w:next w:val="253"/>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2">
    <w:name w:val="样式 标题 3H3sect1.2.3BOD 0Heading 3 - oldh3l3CTLevel 3 Head..."/>
    <w:basedOn w:val="5"/>
    <w:qFormat/>
    <w:uiPriority w:val="0"/>
    <w:pPr>
      <w:spacing w:beforeLines="50" w:afterLines="50"/>
      <w:jc w:val="left"/>
    </w:pPr>
    <w:rPr>
      <w:rFonts w:cs="宋体"/>
      <w:bCs/>
      <w:sz w:val="30"/>
    </w:rPr>
  </w:style>
  <w:style w:type="paragraph" w:customStyle="1" w:styleId="373">
    <w:name w:val="Char Char Char Char Char Char Char Char Char Char Char1"/>
    <w:basedOn w:val="1"/>
    <w:qFormat/>
    <w:uiPriority w:val="0"/>
    <w:rPr>
      <w:rFonts w:ascii="Tahoma" w:hAnsi="Tahoma"/>
      <w:sz w:val="24"/>
    </w:rPr>
  </w:style>
  <w:style w:type="paragraph" w:customStyle="1" w:styleId="374">
    <w:name w:val="tableau"/>
    <w:basedOn w:val="1"/>
    <w:qFormat/>
    <w:uiPriority w:val="0"/>
    <w:pPr>
      <w:widowControl/>
      <w:spacing w:before="20" w:after="20"/>
      <w:jc w:val="center"/>
    </w:pPr>
    <w:rPr>
      <w:rFonts w:ascii="Arial" w:hAnsi="Arial"/>
      <w:kern w:val="0"/>
      <w:sz w:val="16"/>
      <w:lang w:val="en-GB" w:eastAsia="en-US"/>
    </w:rPr>
  </w:style>
  <w:style w:type="paragraph" w:customStyle="1" w:styleId="375">
    <w:name w:val="font14"/>
    <w:basedOn w:val="1"/>
    <w:qFormat/>
    <w:uiPriority w:val="0"/>
    <w:pPr>
      <w:widowControl/>
      <w:spacing w:before="100" w:beforeAutospacing="1" w:after="100" w:afterAutospacing="1"/>
      <w:jc w:val="left"/>
    </w:pPr>
    <w:rPr>
      <w:kern w:val="0"/>
      <w:sz w:val="36"/>
      <w:szCs w:val="36"/>
    </w:rPr>
  </w:style>
  <w:style w:type="paragraph" w:customStyle="1" w:styleId="376">
    <w:name w:val="部分1"/>
    <w:basedOn w:val="1"/>
    <w:qFormat/>
    <w:uiPriority w:val="0"/>
    <w:pPr>
      <w:keepNext/>
      <w:pageBreakBefore/>
      <w:tabs>
        <w:tab w:val="left" w:pos="360"/>
      </w:tabs>
      <w:spacing w:line="360" w:lineRule="auto"/>
      <w:jc w:val="center"/>
      <w:outlineLvl w:val="0"/>
    </w:pPr>
    <w:rPr>
      <w:rFonts w:eastAsia="黑体"/>
      <w:b/>
      <w:kern w:val="44"/>
      <w:sz w:val="36"/>
    </w:rPr>
  </w:style>
  <w:style w:type="paragraph" w:customStyle="1" w:styleId="377">
    <w:name w:val="样式 样式 首行缩进:  0.74 厘米 行距: 1.5 倍行距 + 段后: 0.5 行"/>
    <w:basedOn w:val="1"/>
    <w:qFormat/>
    <w:uiPriority w:val="0"/>
    <w:pPr>
      <w:spacing w:line="360" w:lineRule="auto"/>
      <w:ind w:firstLine="420"/>
    </w:pPr>
    <w:rPr>
      <w:rFonts w:ascii="楷体_GB2312" w:eastAsia="楷体_GB2312"/>
      <w:bCs/>
      <w:sz w:val="24"/>
    </w:rPr>
  </w:style>
  <w:style w:type="paragraph" w:customStyle="1" w:styleId="378">
    <w:name w:val="Test2"/>
    <w:basedOn w:val="3"/>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7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0">
    <w:name w:val="Body Text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1">
    <w:name w:val="Char Char Char Char Char Char Char Char Char Char Char Char Char Char Char Char Char Char Char Char Char Char Char"/>
    <w:basedOn w:val="1"/>
    <w:qFormat/>
    <w:uiPriority w:val="0"/>
    <w:rPr>
      <w:rFonts w:ascii="Tahoma" w:hAnsi="Tahoma"/>
      <w:sz w:val="24"/>
    </w:rPr>
  </w:style>
  <w:style w:type="paragraph" w:customStyle="1" w:styleId="382">
    <w:name w:val="Default Text"/>
    <w:basedOn w:val="1"/>
    <w:qFormat/>
    <w:uiPriority w:val="0"/>
    <w:pPr>
      <w:widowControl/>
      <w:jc w:val="left"/>
    </w:pPr>
    <w:rPr>
      <w:kern w:val="0"/>
      <w:sz w:val="24"/>
      <w:lang w:eastAsia="en-US"/>
    </w:rPr>
  </w:style>
  <w:style w:type="paragraph" w:customStyle="1" w:styleId="38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4">
    <w:name w:val="马刚标题1"/>
    <w:basedOn w:val="2"/>
    <w:next w:val="1"/>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5">
    <w:name w:val="Char1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86">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7">
    <w:name w:val="二级条标题"/>
    <w:basedOn w:val="1"/>
    <w:next w:val="247"/>
    <w:qFormat/>
    <w:uiPriority w:val="0"/>
    <w:pPr>
      <w:widowControl/>
      <w:tabs>
        <w:tab w:val="left" w:pos="2240"/>
      </w:tabs>
      <w:ind w:hanging="420"/>
      <w:outlineLvl w:val="3"/>
    </w:pPr>
    <w:rPr>
      <w:rFonts w:eastAsia="黑体"/>
      <w:kern w:val="0"/>
    </w:rPr>
  </w:style>
  <w:style w:type="paragraph" w:customStyle="1" w:styleId="388">
    <w:name w:val="font8"/>
    <w:basedOn w:val="1"/>
    <w:qFormat/>
    <w:uiPriority w:val="0"/>
    <w:pPr>
      <w:widowControl/>
      <w:spacing w:before="100" w:beforeAutospacing="1" w:after="100" w:afterAutospacing="1"/>
      <w:jc w:val="left"/>
    </w:pPr>
    <w:rPr>
      <w:rFonts w:ascii="宋体" w:hAnsi="宋体" w:cs="宋体"/>
      <w:b/>
      <w:bCs/>
      <w:i/>
      <w:iCs/>
      <w:kern w:val="0"/>
      <w:sz w:val="20"/>
    </w:rPr>
  </w:style>
  <w:style w:type="paragraph" w:customStyle="1" w:styleId="389">
    <w:name w:val="Pa6"/>
    <w:basedOn w:val="1"/>
    <w:next w:val="1"/>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0">
    <w:name w:val="TOC 标题1"/>
    <w:basedOn w:val="2"/>
    <w:next w:val="1"/>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1">
    <w:name w:val="正文 + 宋体"/>
    <w:basedOn w:val="1"/>
    <w:qFormat/>
    <w:uiPriority w:val="0"/>
    <w:pPr>
      <w:spacing w:line="360" w:lineRule="auto"/>
      <w:ind w:firstLine="420" w:firstLineChars="200"/>
    </w:pPr>
    <w:rPr>
      <w:szCs w:val="24"/>
    </w:rPr>
  </w:style>
  <w:style w:type="paragraph" w:customStyle="1" w:styleId="392">
    <w:name w:val="Char Char Char Char Char Char Char Char1"/>
    <w:basedOn w:val="1"/>
    <w:qFormat/>
    <w:uiPriority w:val="0"/>
    <w:rPr>
      <w:rFonts w:ascii="Tahoma" w:hAnsi="Tahoma" w:cs="Tahoma"/>
      <w:sz w:val="24"/>
    </w:rPr>
  </w:style>
  <w:style w:type="paragraph" w:customStyle="1" w:styleId="393">
    <w:name w:val="Char Char Char Char1"/>
    <w:basedOn w:val="18"/>
    <w:qFormat/>
    <w:uiPriority w:val="0"/>
    <w:pPr>
      <w:adjustRightInd w:val="0"/>
      <w:snapToGrid w:val="0"/>
      <w:spacing w:line="360" w:lineRule="auto"/>
    </w:pPr>
    <w:rPr>
      <w:rFonts w:ascii="Tahoma" w:hAnsi="Tahoma"/>
      <w:sz w:val="24"/>
      <w:szCs w:val="24"/>
    </w:rPr>
  </w:style>
  <w:style w:type="paragraph" w:customStyle="1" w:styleId="394">
    <w:name w:val="正文1"/>
    <w:basedOn w:val="1"/>
    <w:qFormat/>
    <w:uiPriority w:val="0"/>
    <w:rPr>
      <w:rFonts w:ascii="Calibri" w:hAnsi="Calibri" w:eastAsia="Times New Roman" w:cs="宋体"/>
      <w:kern w:val="0"/>
      <w:lang w:val="zh-CN"/>
    </w:rPr>
  </w:style>
  <w:style w:type="paragraph" w:customStyle="1" w:styleId="395">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7">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398">
    <w:name w:val="Normal1"/>
    <w:basedOn w:val="1"/>
    <w:qFormat/>
    <w:uiPriority w:val="0"/>
    <w:rPr>
      <w:rFonts w:ascii="Calibri" w:hAnsi="Calibri" w:eastAsia="Times New Roman" w:cs="宋体"/>
      <w:kern w:val="0"/>
      <w:lang w:val="zh-CN"/>
    </w:rPr>
  </w:style>
  <w:style w:type="paragraph" w:customStyle="1" w:styleId="399">
    <w:name w:val="纯文本1"/>
    <w:basedOn w:val="1"/>
    <w:qFormat/>
    <w:uiPriority w:val="0"/>
    <w:pPr>
      <w:adjustRightInd w:val="0"/>
      <w:textAlignment w:val="baseline"/>
    </w:pPr>
    <w:rPr>
      <w:rFonts w:ascii="宋体" w:hAnsi="宋体" w:eastAsia="楷体_GB2312" w:cs="宋体"/>
      <w:sz w:val="28"/>
    </w:rPr>
  </w:style>
  <w:style w:type="paragraph" w:customStyle="1" w:styleId="400">
    <w:name w:val="正文lzq"/>
    <w:basedOn w:val="1"/>
    <w:qFormat/>
    <w:uiPriority w:val="0"/>
    <w:pPr>
      <w:adjustRightInd w:val="0"/>
      <w:spacing w:line="360" w:lineRule="auto"/>
      <w:ind w:firstLine="480"/>
      <w:textAlignment w:val="baseline"/>
    </w:pPr>
    <w:rPr>
      <w:kern w:val="0"/>
      <w:sz w:val="24"/>
    </w:rPr>
  </w:style>
  <w:style w:type="paragraph" w:customStyle="1" w:styleId="401">
    <w:name w:val="列表内容"/>
    <w:basedOn w:val="1"/>
    <w:next w:val="1"/>
    <w:qFormat/>
    <w:uiPriority w:val="0"/>
    <w:pPr>
      <w:widowControl/>
      <w:tabs>
        <w:tab w:val="left" w:pos="840"/>
      </w:tabs>
      <w:ind w:left="840" w:hanging="420"/>
      <w:jc w:val="left"/>
    </w:pPr>
    <w:rPr>
      <w:kern w:val="0"/>
      <w:sz w:val="18"/>
      <w:szCs w:val="24"/>
    </w:rPr>
  </w:style>
  <w:style w:type="paragraph" w:customStyle="1" w:styleId="402">
    <w:name w:val="Char Char Char Char Char Char Char Char Char Char Char Char Char Char Char Char Char Char Char Char Char"/>
    <w:basedOn w:val="1"/>
    <w:qFormat/>
    <w:uiPriority w:val="0"/>
    <w:rPr>
      <w:rFonts w:ascii="Tahoma" w:hAnsi="Tahoma"/>
      <w:sz w:val="24"/>
    </w:rPr>
  </w:style>
  <w:style w:type="paragraph" w:customStyle="1" w:styleId="403">
    <w:name w:val="Char Char Char"/>
    <w:basedOn w:val="1"/>
    <w:qFormat/>
    <w:uiPriority w:val="0"/>
    <w:rPr>
      <w:rFonts w:ascii="Tahoma" w:hAnsi="Tahoma"/>
      <w:sz w:val="24"/>
    </w:rPr>
  </w:style>
  <w:style w:type="paragraph" w:customStyle="1" w:styleId="404">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5">
    <w:name w:val="正文--表格内正文"/>
    <w:basedOn w:val="1"/>
    <w:qFormat/>
    <w:uiPriority w:val="0"/>
    <w:pPr>
      <w:spacing w:beforeLines="50" w:line="240" w:lineRule="atLeast"/>
      <w:jc w:val="center"/>
    </w:pPr>
    <w:rPr>
      <w:rFonts w:ascii="宋体" w:hAnsi="宋体"/>
      <w:color w:val="000000"/>
      <w:sz w:val="24"/>
      <w:szCs w:val="24"/>
    </w:rPr>
  </w:style>
  <w:style w:type="paragraph" w:customStyle="1" w:styleId="406">
    <w:name w:val="大标题"/>
    <w:basedOn w:val="1"/>
    <w:next w:val="1"/>
    <w:qFormat/>
    <w:uiPriority w:val="0"/>
    <w:pPr>
      <w:pageBreakBefore/>
      <w:tabs>
        <w:tab w:val="left" w:pos="420"/>
      </w:tabs>
      <w:spacing w:line="360" w:lineRule="auto"/>
      <w:ind w:hanging="420" w:firstLineChars="200"/>
      <w:outlineLvl w:val="0"/>
    </w:pPr>
    <w:rPr>
      <w:b/>
      <w:iCs/>
      <w:sz w:val="44"/>
      <w:szCs w:val="24"/>
    </w:rPr>
  </w:style>
  <w:style w:type="paragraph" w:customStyle="1" w:styleId="407">
    <w:name w:val="公文标题 2"/>
    <w:basedOn w:val="1"/>
    <w:next w:val="337"/>
    <w:qFormat/>
    <w:uiPriority w:val="0"/>
    <w:pPr>
      <w:outlineLvl w:val="1"/>
    </w:pPr>
    <w:rPr>
      <w:rFonts w:ascii="仿宋_GB2312" w:hAnsi="宋体" w:eastAsia="仿宋_GB2312"/>
      <w:kern w:val="28"/>
      <w:sz w:val="28"/>
      <w:szCs w:val="24"/>
    </w:rPr>
  </w:style>
  <w:style w:type="paragraph" w:customStyle="1" w:styleId="408">
    <w:name w:val="文档正文"/>
    <w:basedOn w:val="1"/>
    <w:qFormat/>
    <w:uiPriority w:val="0"/>
    <w:pPr>
      <w:spacing w:line="360" w:lineRule="auto"/>
    </w:pPr>
    <w:rPr>
      <w:rFonts w:ascii="宋体" w:hAnsi="宋体"/>
      <w:b/>
      <w:bCs/>
      <w:szCs w:val="24"/>
    </w:rPr>
  </w:style>
  <w:style w:type="paragraph" w:customStyle="1" w:styleId="409">
    <w:name w:val="Char Char Char Char Char Char Char Char Char Char Char"/>
    <w:basedOn w:val="1"/>
    <w:qFormat/>
    <w:uiPriority w:val="0"/>
    <w:rPr>
      <w:rFonts w:ascii="Tahoma" w:hAnsi="Tahoma" w:cs="Tahoma"/>
      <w:sz w:val="24"/>
    </w:rPr>
  </w:style>
  <w:style w:type="paragraph" w:customStyle="1" w:styleId="410">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1">
    <w:name w:val="标题6"/>
    <w:basedOn w:val="7"/>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2">
    <w:name w:val="样式 段后: 0.5 行 左  0.75 字符"/>
    <w:basedOn w:val="1"/>
    <w:qFormat/>
    <w:uiPriority w:val="0"/>
    <w:pPr>
      <w:widowControl/>
      <w:spacing w:line="360" w:lineRule="auto"/>
      <w:ind w:firstLine="420" w:firstLineChars="200"/>
    </w:pPr>
    <w:rPr>
      <w:rFonts w:hAnsi="Arial" w:cs="Arial"/>
      <w:kern w:val="0"/>
      <w:szCs w:val="21"/>
    </w:rPr>
  </w:style>
  <w:style w:type="character" w:customStyle="1" w:styleId="413">
    <w:name w:val="批注文字 Char1"/>
    <w:basedOn w:val="62"/>
    <w:semiHidden/>
    <w:qFormat/>
    <w:uiPriority w:val="99"/>
    <w:rPr>
      <w:rFonts w:ascii="Times New Roman" w:hAnsi="Times New Roman" w:eastAsia="宋体" w:cs="Times New Roman"/>
      <w:szCs w:val="24"/>
    </w:rPr>
  </w:style>
  <w:style w:type="paragraph" w:styleId="414">
    <w:name w:val="List Paragraph"/>
    <w:basedOn w:val="1"/>
    <w:qFormat/>
    <w:uiPriority w:val="99"/>
    <w:pPr>
      <w:ind w:firstLine="420" w:firstLineChars="200"/>
    </w:pPr>
    <w:rPr>
      <w:szCs w:val="24"/>
    </w:rPr>
  </w:style>
  <w:style w:type="paragraph" w:customStyle="1" w:styleId="415">
    <w:name w:val="_Style 3"/>
    <w:basedOn w:val="1"/>
    <w:next w:val="414"/>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BD1D81-1C55-4F76-8BBA-313A87D1946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3721</Words>
  <Characters>21214</Characters>
  <Lines>176</Lines>
  <Paragraphs>49</Paragraphs>
  <TotalTime>32</TotalTime>
  <ScaleCrop>false</ScaleCrop>
  <LinksUpToDate>false</LinksUpToDate>
  <CharactersWithSpaces>24886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2018-11-14T03:11:00Z</dcterms:created>
  <dc:creator>Windows 用户</dc:creator>
  <cp:lastModifiedBy>荷角轻婷</cp:lastModifiedBy>
  <cp:lastPrinted>2021-11-05T08:47:00Z</cp:lastPrinted>
  <dcterms:modified xsi:type="dcterms:W3CDTF">2021-11-08T06:27:35Z</dcterms:modified>
  <cp:revision>173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7B5DA57B785B4AC4A9531542247B8332</vt:lpwstr>
  </property>
</Properties>
</file>